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3806">
      <w:pPr>
        <w:jc w:val="center"/>
        <w:rPr>
          <w:rFonts w:ascii="宋体" w:hAnsi="宋体" w:eastAsia="宋体"/>
          <w:sz w:val="44"/>
          <w:szCs w:val="44"/>
          <w:highlight w:val="none"/>
        </w:rPr>
      </w:pPr>
      <w:bookmarkStart w:id="0" w:name="_Hlk53133821"/>
    </w:p>
    <w:p w14:paraId="360E1603">
      <w:pPr>
        <w:jc w:val="center"/>
        <w:rPr>
          <w:rFonts w:ascii="宋体" w:hAnsi="宋体" w:eastAsia="宋体"/>
          <w:b/>
          <w:sz w:val="44"/>
          <w:szCs w:val="44"/>
          <w:highlight w:val="none"/>
        </w:rPr>
      </w:pPr>
      <w:r>
        <w:rPr>
          <w:rFonts w:hint="eastAsia" w:ascii="宋体" w:hAnsi="宋体" w:eastAsia="宋体"/>
          <w:b/>
          <w:sz w:val="44"/>
          <w:szCs w:val="44"/>
          <w:highlight w:val="none"/>
        </w:rPr>
        <w:t>广州市黄埔区云埔街火村社区莲潭经济合作社城中村改造项目（南湾村）改造方案</w:t>
      </w:r>
    </w:p>
    <w:p w14:paraId="2E499283">
      <w:pPr>
        <w:jc w:val="center"/>
        <w:rPr>
          <w:rFonts w:ascii="宋体" w:hAnsi="宋体" w:eastAsia="宋体"/>
          <w:b/>
          <w:sz w:val="44"/>
          <w:szCs w:val="44"/>
          <w:highlight w:val="none"/>
        </w:rPr>
      </w:pPr>
      <w:r>
        <w:rPr>
          <w:rFonts w:hint="eastAsia" w:ascii="宋体" w:hAnsi="宋体" w:eastAsia="宋体"/>
          <w:b/>
          <w:sz w:val="44"/>
          <w:szCs w:val="44"/>
          <w:highlight w:val="none"/>
        </w:rPr>
        <w:t>与实施计划编制服</w:t>
      </w:r>
      <w:r>
        <w:rPr>
          <w:rFonts w:ascii="宋体" w:hAnsi="宋体" w:eastAsia="宋体"/>
          <w:b/>
          <w:sz w:val="44"/>
          <w:szCs w:val="44"/>
          <w:highlight w:val="none"/>
        </w:rPr>
        <w:t>务</w:t>
      </w:r>
      <w:bookmarkEnd w:id="0"/>
    </w:p>
    <w:p w14:paraId="3EA08909">
      <w:pPr>
        <w:jc w:val="center"/>
        <w:rPr>
          <w:rFonts w:ascii="宋体" w:hAnsi="宋体" w:eastAsia="宋体"/>
          <w:b/>
          <w:sz w:val="44"/>
          <w:szCs w:val="44"/>
          <w:highlight w:val="none"/>
        </w:rPr>
      </w:pPr>
    </w:p>
    <w:p w14:paraId="7549AEB6">
      <w:pPr>
        <w:jc w:val="center"/>
        <w:rPr>
          <w:rFonts w:ascii="宋体" w:hAnsi="宋体" w:eastAsia="宋体"/>
          <w:b/>
          <w:sz w:val="44"/>
          <w:szCs w:val="44"/>
          <w:highlight w:val="none"/>
        </w:rPr>
      </w:pPr>
    </w:p>
    <w:p w14:paraId="1CEA608D">
      <w:pPr>
        <w:jc w:val="center"/>
        <w:rPr>
          <w:rFonts w:ascii="宋体" w:hAnsi="宋体" w:eastAsia="宋体"/>
          <w:b/>
          <w:sz w:val="44"/>
          <w:szCs w:val="44"/>
          <w:highlight w:val="none"/>
        </w:rPr>
      </w:pPr>
    </w:p>
    <w:p w14:paraId="5C688C13">
      <w:pPr>
        <w:jc w:val="center"/>
        <w:rPr>
          <w:rFonts w:ascii="宋体" w:hAnsi="宋体" w:eastAsia="宋体" w:cs="宋体"/>
          <w:b/>
          <w:bCs/>
          <w:spacing w:val="26"/>
          <w:sz w:val="110"/>
          <w:szCs w:val="110"/>
          <w:highlight w:val="none"/>
        </w:rPr>
      </w:pPr>
      <w:r>
        <w:rPr>
          <w:rFonts w:hint="eastAsia" w:ascii="宋体" w:hAnsi="宋体" w:eastAsia="宋体" w:cs="宋体"/>
          <w:b/>
          <w:bCs/>
          <w:spacing w:val="26"/>
          <w:sz w:val="110"/>
          <w:szCs w:val="110"/>
          <w:highlight w:val="none"/>
        </w:rPr>
        <w:t>招标文件</w:t>
      </w:r>
    </w:p>
    <w:p w14:paraId="13B6CDD7">
      <w:pPr>
        <w:spacing w:line="360" w:lineRule="auto"/>
        <w:jc w:val="center"/>
        <w:rPr>
          <w:rFonts w:ascii="宋体" w:hAnsi="宋体" w:eastAsia="宋体" w:cs="宋体"/>
          <w:sz w:val="32"/>
          <w:szCs w:val="32"/>
          <w:highlight w:val="none"/>
        </w:rPr>
      </w:pPr>
    </w:p>
    <w:p w14:paraId="2D43CDFF">
      <w:pPr>
        <w:spacing w:line="360" w:lineRule="auto"/>
        <w:jc w:val="center"/>
        <w:rPr>
          <w:rFonts w:ascii="宋体" w:hAnsi="宋体" w:eastAsia="宋体" w:cs="宋体"/>
          <w:sz w:val="32"/>
          <w:szCs w:val="32"/>
          <w:highlight w:val="none"/>
        </w:rPr>
      </w:pPr>
    </w:p>
    <w:p w14:paraId="5AC4B8C7">
      <w:pPr>
        <w:spacing w:line="360" w:lineRule="auto"/>
        <w:jc w:val="center"/>
        <w:rPr>
          <w:rFonts w:ascii="宋体" w:hAnsi="宋体" w:eastAsia="宋体" w:cs="宋体"/>
          <w:sz w:val="32"/>
          <w:szCs w:val="32"/>
          <w:highlight w:val="none"/>
        </w:rPr>
      </w:pPr>
      <w:r>
        <w:rPr>
          <w:rFonts w:ascii="宋体" w:hAnsi="宋体" w:eastAsia="宋体" w:cs="Arial"/>
          <w:b/>
          <w:sz w:val="32"/>
          <w:szCs w:val="32"/>
          <w:highlight w:val="none"/>
        </w:rPr>
        <w:drawing>
          <wp:inline distT="0" distB="0" distL="0" distR="0">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14:paraId="6A60B706">
      <w:pPr>
        <w:spacing w:line="360" w:lineRule="auto"/>
        <w:ind w:firstLine="2560" w:firstLineChars="800"/>
        <w:rPr>
          <w:rFonts w:ascii="宋体" w:hAnsi="宋体" w:eastAsia="宋体" w:cs="宋体"/>
          <w:sz w:val="32"/>
          <w:szCs w:val="32"/>
          <w:highlight w:val="none"/>
        </w:rPr>
      </w:pPr>
    </w:p>
    <w:p w14:paraId="7DC731E6">
      <w:pPr>
        <w:spacing w:line="360" w:lineRule="auto"/>
        <w:jc w:val="center"/>
        <w:rPr>
          <w:rFonts w:ascii="宋体" w:hAnsi="宋体" w:eastAsia="宋体" w:cs="宋体"/>
          <w:spacing w:val="-2"/>
          <w:sz w:val="30"/>
          <w:szCs w:val="30"/>
          <w:highlight w:val="none"/>
        </w:rPr>
      </w:pPr>
    </w:p>
    <w:p w14:paraId="77248D80">
      <w:pPr>
        <w:spacing w:line="360" w:lineRule="auto"/>
        <w:jc w:val="center"/>
        <w:rPr>
          <w:rFonts w:ascii="宋体" w:hAnsi="宋体" w:eastAsia="宋体" w:cs="宋体"/>
          <w:b/>
          <w:bCs/>
          <w:spacing w:val="-2"/>
          <w:sz w:val="30"/>
          <w:szCs w:val="30"/>
          <w:highlight w:val="none"/>
        </w:rPr>
      </w:pPr>
      <w:r>
        <w:rPr>
          <w:rFonts w:hint="eastAsia" w:ascii="宋体" w:hAnsi="宋体" w:eastAsia="宋体" w:cs="宋体"/>
          <w:b/>
          <w:bCs/>
          <w:spacing w:val="-2"/>
          <w:sz w:val="30"/>
          <w:szCs w:val="30"/>
          <w:highlight w:val="none"/>
        </w:rPr>
        <w:t>招标人：广州开城联晟城市开发投资有限公司</w:t>
      </w:r>
    </w:p>
    <w:p w14:paraId="3BCFB323">
      <w:pPr>
        <w:spacing w:line="360" w:lineRule="auto"/>
        <w:jc w:val="center"/>
        <w:rPr>
          <w:rFonts w:ascii="宋体" w:hAnsi="宋体" w:eastAsia="宋体" w:cs="宋体"/>
          <w:b/>
          <w:bCs/>
          <w:spacing w:val="-2"/>
          <w:sz w:val="30"/>
          <w:szCs w:val="30"/>
          <w:highlight w:val="none"/>
        </w:rPr>
      </w:pPr>
      <w:r>
        <w:rPr>
          <w:rFonts w:hint="eastAsia" w:ascii="宋体" w:hAnsi="宋体" w:eastAsia="宋体" w:cs="宋体"/>
          <w:b/>
          <w:bCs/>
          <w:spacing w:val="-2"/>
          <w:sz w:val="30"/>
          <w:szCs w:val="30"/>
          <w:highlight w:val="none"/>
        </w:rPr>
        <w:t>招标代理机构：广州建筑工程监理有限公司</w:t>
      </w:r>
    </w:p>
    <w:p w14:paraId="04F8B5F9">
      <w:pPr>
        <w:spacing w:line="360" w:lineRule="auto"/>
        <w:jc w:val="center"/>
        <w:rPr>
          <w:rFonts w:ascii="宋体" w:hAnsi="宋体" w:eastAsia="宋体" w:cs="宋体"/>
          <w:b/>
          <w:bCs/>
          <w:spacing w:val="-2"/>
          <w:sz w:val="30"/>
          <w:szCs w:val="30"/>
          <w:highlight w:val="none"/>
        </w:rPr>
      </w:pPr>
      <w:r>
        <w:rPr>
          <w:rFonts w:hint="eastAsia" w:ascii="宋体" w:hAnsi="宋体" w:eastAsia="宋体" w:cs="宋体"/>
          <w:b/>
          <w:bCs/>
          <w:spacing w:val="-2"/>
          <w:sz w:val="30"/>
          <w:szCs w:val="30"/>
          <w:highlight w:val="none"/>
        </w:rPr>
        <w:t>日期：</w:t>
      </w:r>
      <w:r>
        <w:rPr>
          <w:rFonts w:ascii="宋体" w:hAnsi="宋体" w:eastAsia="宋体" w:cs="宋体"/>
          <w:b/>
          <w:bCs/>
          <w:spacing w:val="-2"/>
          <w:sz w:val="30"/>
          <w:szCs w:val="30"/>
          <w:highlight w:val="none"/>
        </w:rPr>
        <w:t>202</w:t>
      </w:r>
      <w:r>
        <w:rPr>
          <w:rFonts w:hint="eastAsia" w:ascii="宋体" w:hAnsi="宋体" w:eastAsia="宋体" w:cs="宋体"/>
          <w:b/>
          <w:bCs/>
          <w:spacing w:val="-2"/>
          <w:sz w:val="30"/>
          <w:szCs w:val="30"/>
          <w:highlight w:val="none"/>
        </w:rPr>
        <w:t>5</w:t>
      </w:r>
      <w:r>
        <w:rPr>
          <w:rFonts w:ascii="宋体" w:hAnsi="宋体" w:eastAsia="宋体" w:cs="宋体"/>
          <w:b/>
          <w:bCs/>
          <w:spacing w:val="-2"/>
          <w:sz w:val="30"/>
          <w:szCs w:val="30"/>
          <w:highlight w:val="none"/>
        </w:rPr>
        <w:t>年</w:t>
      </w:r>
      <w:r>
        <w:rPr>
          <w:rFonts w:hint="eastAsia" w:ascii="宋体" w:hAnsi="宋体" w:eastAsia="宋体" w:cs="宋体"/>
          <w:b/>
          <w:bCs/>
          <w:spacing w:val="-2"/>
          <w:sz w:val="30"/>
          <w:szCs w:val="30"/>
          <w:highlight w:val="none"/>
          <w:u w:val="single"/>
        </w:rPr>
        <w:t xml:space="preserve"> </w:t>
      </w:r>
      <w:r>
        <w:rPr>
          <w:rFonts w:hint="eastAsia" w:ascii="宋体" w:hAnsi="宋体" w:eastAsia="宋体" w:cs="宋体"/>
          <w:b/>
          <w:bCs/>
          <w:spacing w:val="-2"/>
          <w:sz w:val="30"/>
          <w:szCs w:val="30"/>
          <w:highlight w:val="none"/>
          <w:u w:val="single"/>
          <w:lang w:val="en-US" w:eastAsia="zh-CN"/>
        </w:rPr>
        <w:t>11</w:t>
      </w:r>
      <w:r>
        <w:rPr>
          <w:rFonts w:hint="eastAsia" w:ascii="宋体" w:hAnsi="宋体" w:eastAsia="宋体" w:cs="宋体"/>
          <w:b/>
          <w:bCs/>
          <w:spacing w:val="-2"/>
          <w:sz w:val="30"/>
          <w:szCs w:val="30"/>
          <w:highlight w:val="none"/>
          <w:u w:val="single"/>
        </w:rPr>
        <w:t xml:space="preserve"> </w:t>
      </w:r>
      <w:r>
        <w:rPr>
          <w:rFonts w:hint="eastAsia" w:ascii="宋体" w:hAnsi="宋体" w:eastAsia="宋体" w:cs="宋体"/>
          <w:b/>
          <w:bCs/>
          <w:spacing w:val="-2"/>
          <w:sz w:val="30"/>
          <w:szCs w:val="30"/>
          <w:highlight w:val="none"/>
        </w:rPr>
        <w:t>月</w:t>
      </w:r>
    </w:p>
    <w:p w14:paraId="16272DC9">
      <w:pPr>
        <w:pageBreakBefore/>
        <w:spacing w:line="360" w:lineRule="auto"/>
        <w:jc w:val="center"/>
        <w:rPr>
          <w:rFonts w:ascii="宋体" w:hAnsi="宋体" w:eastAsia="宋体"/>
          <w:b/>
          <w:sz w:val="32"/>
          <w:szCs w:val="32"/>
          <w:highlight w:val="none"/>
        </w:rPr>
      </w:pPr>
      <w:r>
        <w:rPr>
          <w:rFonts w:hint="eastAsia" w:ascii="宋体" w:hAnsi="宋体" w:eastAsia="宋体"/>
          <w:b/>
          <w:sz w:val="32"/>
          <w:szCs w:val="32"/>
          <w:highlight w:val="none"/>
        </w:rPr>
        <w:t>目</w:t>
      </w:r>
      <w:r>
        <w:rPr>
          <w:rFonts w:ascii="宋体" w:hAnsi="宋体" w:eastAsia="宋体"/>
          <w:b/>
          <w:sz w:val="32"/>
          <w:szCs w:val="32"/>
          <w:highlight w:val="none"/>
        </w:rPr>
        <w:t xml:space="preserve">  </w:t>
      </w:r>
      <w:r>
        <w:rPr>
          <w:rFonts w:hint="eastAsia" w:ascii="宋体" w:hAnsi="宋体" w:eastAsia="宋体"/>
          <w:b/>
          <w:sz w:val="32"/>
          <w:szCs w:val="32"/>
          <w:highlight w:val="none"/>
        </w:rPr>
        <w:t>录</w:t>
      </w:r>
    </w:p>
    <w:p w14:paraId="457E70D2">
      <w:pPr>
        <w:pStyle w:val="20"/>
        <w:tabs>
          <w:tab w:val="right" w:leader="dot" w:pos="8630"/>
        </w:tabs>
        <w:jc w:val="center"/>
        <w:rPr>
          <w:rFonts w:ascii="宋体" w:hAnsi="宋体"/>
          <w:szCs w:val="21"/>
          <w:highlight w:val="none"/>
        </w:rPr>
      </w:pPr>
    </w:p>
    <w:p w14:paraId="4FC28EE2">
      <w:pPr>
        <w:pStyle w:val="20"/>
        <w:tabs>
          <w:tab w:val="right" w:leader="dot" w:pos="8306"/>
        </w:tabs>
        <w:rPr>
          <w:highlight w:val="none"/>
        </w:rPr>
      </w:pPr>
      <w:r>
        <w:rPr>
          <w:rFonts w:hint="eastAsia" w:ascii="宋体" w:hAnsi="宋体"/>
          <w:szCs w:val="21"/>
          <w:highlight w:val="none"/>
        </w:rPr>
        <w:fldChar w:fldCharType="begin"/>
      </w:r>
      <w:r>
        <w:rPr>
          <w:rFonts w:ascii="宋体" w:hAnsi="宋体"/>
          <w:szCs w:val="21"/>
          <w:highlight w:val="none"/>
        </w:rPr>
        <w:instrText xml:space="preserve"> TOC \o "1-3" \h \z \u </w:instrText>
      </w:r>
      <w:r>
        <w:rPr>
          <w:rFonts w:hint="eastAsia" w:ascii="宋体" w:hAnsi="宋体"/>
          <w:szCs w:val="21"/>
          <w:highlight w:val="none"/>
        </w:rPr>
        <w:fldChar w:fldCharType="separate"/>
      </w:r>
      <w:r>
        <w:rPr>
          <w:highlight w:val="none"/>
        </w:rPr>
        <w:fldChar w:fldCharType="begin"/>
      </w:r>
      <w:r>
        <w:rPr>
          <w:highlight w:val="none"/>
        </w:rPr>
        <w:instrText xml:space="preserve"> HYPERLINK \l "_Toc10859" </w:instrText>
      </w:r>
      <w:r>
        <w:rPr>
          <w:highlight w:val="none"/>
        </w:rPr>
        <w:fldChar w:fldCharType="separate"/>
      </w:r>
      <w:r>
        <w:rPr>
          <w:rFonts w:hint="eastAsia"/>
          <w:highlight w:val="none"/>
        </w:rPr>
        <w:t>第一章</w:t>
      </w:r>
      <w:r>
        <w:rPr>
          <w:highlight w:val="none"/>
        </w:rPr>
        <w:t xml:space="preserve"> </w:t>
      </w:r>
      <w:r>
        <w:rPr>
          <w:rFonts w:hint="eastAsia"/>
          <w:highlight w:val="none"/>
        </w:rPr>
        <w:t>招标公告</w:t>
      </w:r>
      <w:r>
        <w:rPr>
          <w:highlight w:val="none"/>
        </w:rPr>
        <w:tab/>
      </w:r>
      <w:r>
        <w:rPr>
          <w:highlight w:val="none"/>
        </w:rPr>
        <w:fldChar w:fldCharType="begin"/>
      </w:r>
      <w:r>
        <w:rPr>
          <w:highlight w:val="none"/>
        </w:rPr>
        <w:instrText xml:space="preserve"> PAGEREF _Toc10859 \h </w:instrText>
      </w:r>
      <w:r>
        <w:rPr>
          <w:highlight w:val="none"/>
        </w:rPr>
        <w:fldChar w:fldCharType="separate"/>
      </w:r>
      <w:r>
        <w:rPr>
          <w:highlight w:val="none"/>
        </w:rPr>
        <w:t>4</w:t>
      </w:r>
      <w:r>
        <w:rPr>
          <w:highlight w:val="none"/>
        </w:rPr>
        <w:fldChar w:fldCharType="end"/>
      </w:r>
      <w:r>
        <w:rPr>
          <w:highlight w:val="none"/>
        </w:rPr>
        <w:fldChar w:fldCharType="end"/>
      </w:r>
    </w:p>
    <w:p w14:paraId="0D9F564C">
      <w:pPr>
        <w:pStyle w:val="20"/>
        <w:tabs>
          <w:tab w:val="right" w:leader="dot" w:pos="8306"/>
        </w:tabs>
        <w:rPr>
          <w:highlight w:val="none"/>
        </w:rPr>
      </w:pPr>
      <w:r>
        <w:rPr>
          <w:highlight w:val="none"/>
        </w:rPr>
        <w:fldChar w:fldCharType="begin"/>
      </w:r>
      <w:r>
        <w:rPr>
          <w:highlight w:val="none"/>
        </w:rPr>
        <w:instrText xml:space="preserve"> HYPERLINK \l "_Toc32651" </w:instrText>
      </w:r>
      <w:r>
        <w:rPr>
          <w:highlight w:val="none"/>
        </w:rPr>
        <w:fldChar w:fldCharType="separate"/>
      </w:r>
      <w:r>
        <w:rPr>
          <w:rFonts w:hint="eastAsia"/>
          <w:highlight w:val="none"/>
        </w:rPr>
        <w:t>第二章</w:t>
      </w:r>
      <w:r>
        <w:rPr>
          <w:highlight w:val="none"/>
        </w:rPr>
        <w:t xml:space="preserve"> </w:t>
      </w:r>
      <w:r>
        <w:rPr>
          <w:rFonts w:hint="eastAsia"/>
          <w:highlight w:val="none"/>
        </w:rPr>
        <w:t>投标人须知</w:t>
      </w:r>
      <w:r>
        <w:rPr>
          <w:highlight w:val="none"/>
        </w:rPr>
        <w:tab/>
      </w:r>
      <w:r>
        <w:rPr>
          <w:highlight w:val="none"/>
        </w:rPr>
        <w:fldChar w:fldCharType="begin"/>
      </w:r>
      <w:r>
        <w:rPr>
          <w:highlight w:val="none"/>
        </w:rPr>
        <w:instrText xml:space="preserve"> PAGEREF _Toc32651 \h </w:instrText>
      </w:r>
      <w:r>
        <w:rPr>
          <w:highlight w:val="none"/>
        </w:rPr>
        <w:fldChar w:fldCharType="separate"/>
      </w:r>
      <w:r>
        <w:rPr>
          <w:highlight w:val="none"/>
        </w:rPr>
        <w:t>5</w:t>
      </w:r>
      <w:r>
        <w:rPr>
          <w:highlight w:val="none"/>
        </w:rPr>
        <w:fldChar w:fldCharType="end"/>
      </w:r>
      <w:r>
        <w:rPr>
          <w:highlight w:val="none"/>
        </w:rPr>
        <w:fldChar w:fldCharType="end"/>
      </w:r>
    </w:p>
    <w:p w14:paraId="1980BE1D">
      <w:pPr>
        <w:pStyle w:val="23"/>
        <w:tabs>
          <w:tab w:val="right" w:leader="dot" w:pos="8306"/>
        </w:tabs>
        <w:ind w:left="420"/>
        <w:rPr>
          <w:highlight w:val="none"/>
        </w:rPr>
      </w:pPr>
      <w:r>
        <w:rPr>
          <w:highlight w:val="none"/>
        </w:rPr>
        <w:fldChar w:fldCharType="begin"/>
      </w:r>
      <w:r>
        <w:rPr>
          <w:highlight w:val="none"/>
        </w:rPr>
        <w:instrText xml:space="preserve"> HYPERLINK \l "_Toc23396" </w:instrText>
      </w:r>
      <w:r>
        <w:rPr>
          <w:highlight w:val="none"/>
        </w:rPr>
        <w:fldChar w:fldCharType="separate"/>
      </w:r>
      <w:r>
        <w:rPr>
          <w:rFonts w:hint="eastAsia"/>
          <w:highlight w:val="none"/>
        </w:rPr>
        <w:t>投标人须知前附表</w:t>
      </w:r>
      <w:r>
        <w:rPr>
          <w:highlight w:val="none"/>
        </w:rPr>
        <w:tab/>
      </w:r>
      <w:r>
        <w:rPr>
          <w:highlight w:val="none"/>
        </w:rPr>
        <w:fldChar w:fldCharType="begin"/>
      </w:r>
      <w:r>
        <w:rPr>
          <w:highlight w:val="none"/>
        </w:rPr>
        <w:instrText xml:space="preserve"> PAGEREF _Toc23396 \h </w:instrText>
      </w:r>
      <w:r>
        <w:rPr>
          <w:highlight w:val="none"/>
        </w:rPr>
        <w:fldChar w:fldCharType="separate"/>
      </w:r>
      <w:r>
        <w:rPr>
          <w:highlight w:val="none"/>
        </w:rPr>
        <w:t>5</w:t>
      </w:r>
      <w:r>
        <w:rPr>
          <w:highlight w:val="none"/>
        </w:rPr>
        <w:fldChar w:fldCharType="end"/>
      </w:r>
      <w:r>
        <w:rPr>
          <w:highlight w:val="none"/>
        </w:rPr>
        <w:fldChar w:fldCharType="end"/>
      </w:r>
    </w:p>
    <w:p w14:paraId="3D70C6A1">
      <w:pPr>
        <w:pStyle w:val="23"/>
        <w:tabs>
          <w:tab w:val="right" w:leader="dot" w:pos="8306"/>
        </w:tabs>
        <w:ind w:left="420"/>
        <w:rPr>
          <w:highlight w:val="none"/>
        </w:rPr>
      </w:pPr>
      <w:r>
        <w:rPr>
          <w:highlight w:val="none"/>
        </w:rPr>
        <w:fldChar w:fldCharType="begin"/>
      </w:r>
      <w:r>
        <w:rPr>
          <w:highlight w:val="none"/>
        </w:rPr>
        <w:instrText xml:space="preserve"> HYPERLINK \l "_Toc17112" </w:instrText>
      </w:r>
      <w:r>
        <w:rPr>
          <w:highlight w:val="none"/>
        </w:rPr>
        <w:fldChar w:fldCharType="separate"/>
      </w:r>
      <w:r>
        <w:rPr>
          <w:highlight w:val="none"/>
        </w:rPr>
        <w:t>1.总则</w:t>
      </w:r>
      <w:r>
        <w:rPr>
          <w:highlight w:val="none"/>
        </w:rPr>
        <w:tab/>
      </w:r>
      <w:r>
        <w:rPr>
          <w:highlight w:val="none"/>
        </w:rPr>
        <w:fldChar w:fldCharType="begin"/>
      </w:r>
      <w:r>
        <w:rPr>
          <w:highlight w:val="none"/>
        </w:rPr>
        <w:instrText xml:space="preserve"> PAGEREF _Toc17112 \h </w:instrText>
      </w:r>
      <w:r>
        <w:rPr>
          <w:highlight w:val="none"/>
        </w:rPr>
        <w:fldChar w:fldCharType="separate"/>
      </w:r>
      <w:r>
        <w:rPr>
          <w:highlight w:val="none"/>
        </w:rPr>
        <w:t>10</w:t>
      </w:r>
      <w:r>
        <w:rPr>
          <w:highlight w:val="none"/>
        </w:rPr>
        <w:fldChar w:fldCharType="end"/>
      </w:r>
      <w:r>
        <w:rPr>
          <w:highlight w:val="none"/>
        </w:rPr>
        <w:fldChar w:fldCharType="end"/>
      </w:r>
    </w:p>
    <w:p w14:paraId="26791F85">
      <w:pPr>
        <w:pStyle w:val="13"/>
        <w:tabs>
          <w:tab w:val="right" w:leader="dot" w:pos="8306"/>
        </w:tabs>
        <w:ind w:left="840"/>
        <w:rPr>
          <w:highlight w:val="none"/>
        </w:rPr>
      </w:pPr>
      <w:r>
        <w:rPr>
          <w:highlight w:val="none"/>
        </w:rPr>
        <w:fldChar w:fldCharType="begin"/>
      </w:r>
      <w:r>
        <w:rPr>
          <w:highlight w:val="none"/>
        </w:rPr>
        <w:instrText xml:space="preserve"> HYPERLINK \l "_Toc13684" </w:instrText>
      </w:r>
      <w:r>
        <w:rPr>
          <w:highlight w:val="none"/>
        </w:rPr>
        <w:fldChar w:fldCharType="separate"/>
      </w:r>
      <w:r>
        <w:rPr>
          <w:rFonts w:ascii="宋体" w:hAnsi="宋体"/>
          <w:highlight w:val="none"/>
        </w:rPr>
        <w:t>1.1招标项目概况</w:t>
      </w:r>
      <w:r>
        <w:rPr>
          <w:highlight w:val="none"/>
        </w:rPr>
        <w:tab/>
      </w:r>
      <w:r>
        <w:rPr>
          <w:highlight w:val="none"/>
        </w:rPr>
        <w:fldChar w:fldCharType="begin"/>
      </w:r>
      <w:r>
        <w:rPr>
          <w:highlight w:val="none"/>
        </w:rPr>
        <w:instrText xml:space="preserve"> PAGEREF _Toc13684 \h </w:instrText>
      </w:r>
      <w:r>
        <w:rPr>
          <w:highlight w:val="none"/>
        </w:rPr>
        <w:fldChar w:fldCharType="separate"/>
      </w:r>
      <w:r>
        <w:rPr>
          <w:highlight w:val="none"/>
        </w:rPr>
        <w:t>10</w:t>
      </w:r>
      <w:r>
        <w:rPr>
          <w:highlight w:val="none"/>
        </w:rPr>
        <w:fldChar w:fldCharType="end"/>
      </w:r>
      <w:r>
        <w:rPr>
          <w:highlight w:val="none"/>
        </w:rPr>
        <w:fldChar w:fldCharType="end"/>
      </w:r>
    </w:p>
    <w:p w14:paraId="13B0F033">
      <w:pPr>
        <w:pStyle w:val="13"/>
        <w:tabs>
          <w:tab w:val="right" w:leader="dot" w:pos="8306"/>
        </w:tabs>
        <w:ind w:left="840"/>
        <w:rPr>
          <w:highlight w:val="none"/>
        </w:rPr>
      </w:pPr>
      <w:r>
        <w:rPr>
          <w:highlight w:val="none"/>
        </w:rPr>
        <w:fldChar w:fldCharType="begin"/>
      </w:r>
      <w:r>
        <w:rPr>
          <w:highlight w:val="none"/>
        </w:rPr>
        <w:instrText xml:space="preserve"> HYPERLINK \l "_Toc21738" </w:instrText>
      </w:r>
      <w:r>
        <w:rPr>
          <w:highlight w:val="none"/>
        </w:rPr>
        <w:fldChar w:fldCharType="separate"/>
      </w:r>
      <w:r>
        <w:rPr>
          <w:rFonts w:ascii="宋体" w:hAnsi="宋体"/>
          <w:highlight w:val="none"/>
        </w:rPr>
        <w:t>1.2招标项目的资金来源和落实情况</w:t>
      </w:r>
      <w:r>
        <w:rPr>
          <w:highlight w:val="none"/>
        </w:rPr>
        <w:tab/>
      </w:r>
      <w:r>
        <w:rPr>
          <w:highlight w:val="none"/>
        </w:rPr>
        <w:fldChar w:fldCharType="begin"/>
      </w:r>
      <w:r>
        <w:rPr>
          <w:highlight w:val="none"/>
        </w:rPr>
        <w:instrText xml:space="preserve"> PAGEREF _Toc21738 \h </w:instrText>
      </w:r>
      <w:r>
        <w:rPr>
          <w:highlight w:val="none"/>
        </w:rPr>
        <w:fldChar w:fldCharType="separate"/>
      </w:r>
      <w:r>
        <w:rPr>
          <w:highlight w:val="none"/>
        </w:rPr>
        <w:t>10</w:t>
      </w:r>
      <w:r>
        <w:rPr>
          <w:highlight w:val="none"/>
        </w:rPr>
        <w:fldChar w:fldCharType="end"/>
      </w:r>
      <w:r>
        <w:rPr>
          <w:highlight w:val="none"/>
        </w:rPr>
        <w:fldChar w:fldCharType="end"/>
      </w:r>
    </w:p>
    <w:p w14:paraId="72B47A0C">
      <w:pPr>
        <w:pStyle w:val="13"/>
        <w:tabs>
          <w:tab w:val="right" w:leader="dot" w:pos="8306"/>
        </w:tabs>
        <w:ind w:left="840"/>
        <w:rPr>
          <w:highlight w:val="none"/>
        </w:rPr>
      </w:pPr>
      <w:r>
        <w:rPr>
          <w:highlight w:val="none"/>
        </w:rPr>
        <w:fldChar w:fldCharType="begin"/>
      </w:r>
      <w:r>
        <w:rPr>
          <w:highlight w:val="none"/>
        </w:rPr>
        <w:instrText xml:space="preserve"> HYPERLINK \l "_Toc31255" </w:instrText>
      </w:r>
      <w:r>
        <w:rPr>
          <w:highlight w:val="none"/>
        </w:rPr>
        <w:fldChar w:fldCharType="separate"/>
      </w:r>
      <w:r>
        <w:rPr>
          <w:rFonts w:ascii="宋体" w:hAnsi="宋体"/>
          <w:highlight w:val="none"/>
        </w:rPr>
        <w:t xml:space="preserve">1.3 </w:t>
      </w:r>
      <w:r>
        <w:rPr>
          <w:rFonts w:hint="eastAsia" w:ascii="宋体" w:hAnsi="宋体"/>
          <w:highlight w:val="none"/>
        </w:rPr>
        <w:t>招标范围、服务期限和质量标准</w:t>
      </w:r>
      <w:r>
        <w:rPr>
          <w:highlight w:val="none"/>
        </w:rPr>
        <w:tab/>
      </w:r>
      <w:r>
        <w:rPr>
          <w:highlight w:val="none"/>
        </w:rPr>
        <w:fldChar w:fldCharType="begin"/>
      </w:r>
      <w:r>
        <w:rPr>
          <w:highlight w:val="none"/>
        </w:rPr>
        <w:instrText xml:space="preserve"> PAGEREF _Toc31255 \h </w:instrText>
      </w:r>
      <w:r>
        <w:rPr>
          <w:highlight w:val="none"/>
        </w:rPr>
        <w:fldChar w:fldCharType="separate"/>
      </w:r>
      <w:r>
        <w:rPr>
          <w:highlight w:val="none"/>
        </w:rPr>
        <w:t>10</w:t>
      </w:r>
      <w:r>
        <w:rPr>
          <w:highlight w:val="none"/>
        </w:rPr>
        <w:fldChar w:fldCharType="end"/>
      </w:r>
      <w:r>
        <w:rPr>
          <w:highlight w:val="none"/>
        </w:rPr>
        <w:fldChar w:fldCharType="end"/>
      </w:r>
    </w:p>
    <w:p w14:paraId="01A1FF25">
      <w:pPr>
        <w:pStyle w:val="13"/>
        <w:tabs>
          <w:tab w:val="right" w:leader="dot" w:pos="8306"/>
        </w:tabs>
        <w:ind w:left="840"/>
        <w:rPr>
          <w:highlight w:val="none"/>
        </w:rPr>
      </w:pPr>
      <w:r>
        <w:rPr>
          <w:highlight w:val="none"/>
        </w:rPr>
        <w:fldChar w:fldCharType="begin"/>
      </w:r>
      <w:r>
        <w:rPr>
          <w:highlight w:val="none"/>
        </w:rPr>
        <w:instrText xml:space="preserve"> HYPERLINK \l "_Toc919" </w:instrText>
      </w:r>
      <w:r>
        <w:rPr>
          <w:highlight w:val="none"/>
        </w:rPr>
        <w:fldChar w:fldCharType="separate"/>
      </w:r>
      <w:r>
        <w:rPr>
          <w:rFonts w:ascii="宋体" w:hAnsi="宋体"/>
          <w:highlight w:val="none"/>
        </w:rPr>
        <w:t>1.4投标人资格要求</w:t>
      </w:r>
      <w:r>
        <w:rPr>
          <w:highlight w:val="none"/>
        </w:rPr>
        <w:tab/>
      </w:r>
      <w:r>
        <w:rPr>
          <w:highlight w:val="none"/>
        </w:rPr>
        <w:fldChar w:fldCharType="begin"/>
      </w:r>
      <w:r>
        <w:rPr>
          <w:highlight w:val="none"/>
        </w:rPr>
        <w:instrText xml:space="preserve"> PAGEREF _Toc919 \h </w:instrText>
      </w:r>
      <w:r>
        <w:rPr>
          <w:highlight w:val="none"/>
        </w:rPr>
        <w:fldChar w:fldCharType="separate"/>
      </w:r>
      <w:r>
        <w:rPr>
          <w:highlight w:val="none"/>
        </w:rPr>
        <w:t>10</w:t>
      </w:r>
      <w:r>
        <w:rPr>
          <w:highlight w:val="none"/>
        </w:rPr>
        <w:fldChar w:fldCharType="end"/>
      </w:r>
      <w:r>
        <w:rPr>
          <w:highlight w:val="none"/>
        </w:rPr>
        <w:fldChar w:fldCharType="end"/>
      </w:r>
    </w:p>
    <w:p w14:paraId="2A0DD142">
      <w:pPr>
        <w:pStyle w:val="13"/>
        <w:tabs>
          <w:tab w:val="right" w:leader="dot" w:pos="8306"/>
        </w:tabs>
        <w:ind w:left="840"/>
        <w:rPr>
          <w:highlight w:val="none"/>
        </w:rPr>
      </w:pPr>
      <w:r>
        <w:rPr>
          <w:highlight w:val="none"/>
        </w:rPr>
        <w:fldChar w:fldCharType="begin"/>
      </w:r>
      <w:r>
        <w:rPr>
          <w:highlight w:val="none"/>
        </w:rPr>
        <w:instrText xml:space="preserve"> HYPERLINK \l "_Toc12524" </w:instrText>
      </w:r>
      <w:r>
        <w:rPr>
          <w:highlight w:val="none"/>
        </w:rPr>
        <w:fldChar w:fldCharType="separate"/>
      </w:r>
      <w:r>
        <w:rPr>
          <w:rFonts w:ascii="宋体" w:hAnsi="宋体"/>
          <w:highlight w:val="none"/>
        </w:rPr>
        <w:t>1.5费用承担</w:t>
      </w:r>
      <w:r>
        <w:rPr>
          <w:highlight w:val="none"/>
        </w:rPr>
        <w:tab/>
      </w:r>
      <w:r>
        <w:rPr>
          <w:highlight w:val="none"/>
        </w:rPr>
        <w:fldChar w:fldCharType="begin"/>
      </w:r>
      <w:r>
        <w:rPr>
          <w:highlight w:val="none"/>
        </w:rPr>
        <w:instrText xml:space="preserve"> PAGEREF _Toc12524 \h </w:instrText>
      </w:r>
      <w:r>
        <w:rPr>
          <w:highlight w:val="none"/>
        </w:rPr>
        <w:fldChar w:fldCharType="separate"/>
      </w:r>
      <w:r>
        <w:rPr>
          <w:highlight w:val="none"/>
        </w:rPr>
        <w:t>11</w:t>
      </w:r>
      <w:r>
        <w:rPr>
          <w:highlight w:val="none"/>
        </w:rPr>
        <w:fldChar w:fldCharType="end"/>
      </w:r>
      <w:r>
        <w:rPr>
          <w:highlight w:val="none"/>
        </w:rPr>
        <w:fldChar w:fldCharType="end"/>
      </w:r>
    </w:p>
    <w:p w14:paraId="6793AA56">
      <w:pPr>
        <w:pStyle w:val="13"/>
        <w:tabs>
          <w:tab w:val="right" w:leader="dot" w:pos="8306"/>
        </w:tabs>
        <w:ind w:left="840"/>
        <w:rPr>
          <w:highlight w:val="none"/>
        </w:rPr>
      </w:pPr>
      <w:r>
        <w:rPr>
          <w:highlight w:val="none"/>
        </w:rPr>
        <w:fldChar w:fldCharType="begin"/>
      </w:r>
      <w:r>
        <w:rPr>
          <w:highlight w:val="none"/>
        </w:rPr>
        <w:instrText xml:space="preserve"> HYPERLINK \l "_Toc27802" </w:instrText>
      </w:r>
      <w:r>
        <w:rPr>
          <w:highlight w:val="none"/>
        </w:rPr>
        <w:fldChar w:fldCharType="separate"/>
      </w:r>
      <w:r>
        <w:rPr>
          <w:rFonts w:ascii="宋体" w:hAnsi="宋体"/>
          <w:highlight w:val="none"/>
        </w:rPr>
        <w:t>1.6保密</w:t>
      </w:r>
      <w:r>
        <w:rPr>
          <w:highlight w:val="none"/>
        </w:rPr>
        <w:tab/>
      </w:r>
      <w:r>
        <w:rPr>
          <w:highlight w:val="none"/>
        </w:rPr>
        <w:fldChar w:fldCharType="begin"/>
      </w:r>
      <w:r>
        <w:rPr>
          <w:highlight w:val="none"/>
        </w:rPr>
        <w:instrText xml:space="preserve"> PAGEREF _Toc27802 \h </w:instrText>
      </w:r>
      <w:r>
        <w:rPr>
          <w:highlight w:val="none"/>
        </w:rPr>
        <w:fldChar w:fldCharType="separate"/>
      </w:r>
      <w:r>
        <w:rPr>
          <w:highlight w:val="none"/>
        </w:rPr>
        <w:t>11</w:t>
      </w:r>
      <w:r>
        <w:rPr>
          <w:highlight w:val="none"/>
        </w:rPr>
        <w:fldChar w:fldCharType="end"/>
      </w:r>
      <w:r>
        <w:rPr>
          <w:highlight w:val="none"/>
        </w:rPr>
        <w:fldChar w:fldCharType="end"/>
      </w:r>
    </w:p>
    <w:p w14:paraId="6A8E36F3">
      <w:pPr>
        <w:pStyle w:val="13"/>
        <w:tabs>
          <w:tab w:val="right" w:leader="dot" w:pos="8306"/>
        </w:tabs>
        <w:ind w:left="840"/>
        <w:rPr>
          <w:highlight w:val="none"/>
        </w:rPr>
      </w:pPr>
      <w:r>
        <w:rPr>
          <w:highlight w:val="none"/>
        </w:rPr>
        <w:fldChar w:fldCharType="begin"/>
      </w:r>
      <w:r>
        <w:rPr>
          <w:highlight w:val="none"/>
        </w:rPr>
        <w:instrText xml:space="preserve"> HYPERLINK \l "_Toc19196" </w:instrText>
      </w:r>
      <w:r>
        <w:rPr>
          <w:highlight w:val="none"/>
        </w:rPr>
        <w:fldChar w:fldCharType="separate"/>
      </w:r>
      <w:r>
        <w:rPr>
          <w:rFonts w:ascii="宋体" w:hAnsi="宋体"/>
          <w:highlight w:val="none"/>
        </w:rPr>
        <w:t>1.7语言文字</w:t>
      </w:r>
      <w:r>
        <w:rPr>
          <w:highlight w:val="none"/>
        </w:rPr>
        <w:tab/>
      </w:r>
      <w:r>
        <w:rPr>
          <w:highlight w:val="none"/>
        </w:rPr>
        <w:fldChar w:fldCharType="begin"/>
      </w:r>
      <w:r>
        <w:rPr>
          <w:highlight w:val="none"/>
        </w:rPr>
        <w:instrText xml:space="preserve"> PAGEREF _Toc19196 \h </w:instrText>
      </w:r>
      <w:r>
        <w:rPr>
          <w:highlight w:val="none"/>
        </w:rPr>
        <w:fldChar w:fldCharType="separate"/>
      </w:r>
      <w:r>
        <w:rPr>
          <w:highlight w:val="none"/>
        </w:rPr>
        <w:t>11</w:t>
      </w:r>
      <w:r>
        <w:rPr>
          <w:highlight w:val="none"/>
        </w:rPr>
        <w:fldChar w:fldCharType="end"/>
      </w:r>
      <w:r>
        <w:rPr>
          <w:highlight w:val="none"/>
        </w:rPr>
        <w:fldChar w:fldCharType="end"/>
      </w:r>
    </w:p>
    <w:p w14:paraId="16563B9F">
      <w:pPr>
        <w:pStyle w:val="13"/>
        <w:tabs>
          <w:tab w:val="right" w:leader="dot" w:pos="8306"/>
        </w:tabs>
        <w:ind w:left="840"/>
        <w:rPr>
          <w:highlight w:val="none"/>
        </w:rPr>
      </w:pPr>
      <w:r>
        <w:rPr>
          <w:highlight w:val="none"/>
        </w:rPr>
        <w:fldChar w:fldCharType="begin"/>
      </w:r>
      <w:r>
        <w:rPr>
          <w:highlight w:val="none"/>
        </w:rPr>
        <w:instrText xml:space="preserve"> HYPERLINK \l "_Toc9797" </w:instrText>
      </w:r>
      <w:r>
        <w:rPr>
          <w:highlight w:val="none"/>
        </w:rPr>
        <w:fldChar w:fldCharType="separate"/>
      </w:r>
      <w:r>
        <w:rPr>
          <w:rFonts w:ascii="宋体" w:hAnsi="宋体"/>
          <w:highlight w:val="none"/>
        </w:rPr>
        <w:t>1.8计量单位</w:t>
      </w:r>
      <w:r>
        <w:rPr>
          <w:highlight w:val="none"/>
        </w:rPr>
        <w:tab/>
      </w:r>
      <w:r>
        <w:rPr>
          <w:highlight w:val="none"/>
        </w:rPr>
        <w:fldChar w:fldCharType="begin"/>
      </w:r>
      <w:r>
        <w:rPr>
          <w:highlight w:val="none"/>
        </w:rPr>
        <w:instrText xml:space="preserve"> PAGEREF _Toc9797 \h </w:instrText>
      </w:r>
      <w:r>
        <w:rPr>
          <w:highlight w:val="none"/>
        </w:rPr>
        <w:fldChar w:fldCharType="separate"/>
      </w:r>
      <w:r>
        <w:rPr>
          <w:highlight w:val="none"/>
        </w:rPr>
        <w:t>11</w:t>
      </w:r>
      <w:r>
        <w:rPr>
          <w:highlight w:val="none"/>
        </w:rPr>
        <w:fldChar w:fldCharType="end"/>
      </w:r>
      <w:r>
        <w:rPr>
          <w:highlight w:val="none"/>
        </w:rPr>
        <w:fldChar w:fldCharType="end"/>
      </w:r>
    </w:p>
    <w:p w14:paraId="552CF83C">
      <w:pPr>
        <w:pStyle w:val="13"/>
        <w:tabs>
          <w:tab w:val="right" w:leader="dot" w:pos="8306"/>
        </w:tabs>
        <w:ind w:left="840"/>
        <w:rPr>
          <w:highlight w:val="none"/>
        </w:rPr>
      </w:pPr>
      <w:r>
        <w:rPr>
          <w:highlight w:val="none"/>
        </w:rPr>
        <w:fldChar w:fldCharType="begin"/>
      </w:r>
      <w:r>
        <w:rPr>
          <w:highlight w:val="none"/>
        </w:rPr>
        <w:instrText xml:space="preserve"> HYPERLINK \l "_Toc28940" </w:instrText>
      </w:r>
      <w:r>
        <w:rPr>
          <w:highlight w:val="none"/>
        </w:rPr>
        <w:fldChar w:fldCharType="separate"/>
      </w:r>
      <w:r>
        <w:rPr>
          <w:rFonts w:ascii="宋体" w:hAnsi="宋体"/>
          <w:highlight w:val="none"/>
        </w:rPr>
        <w:t>1.9踏勘现场</w:t>
      </w:r>
      <w:r>
        <w:rPr>
          <w:highlight w:val="none"/>
        </w:rPr>
        <w:tab/>
      </w:r>
      <w:r>
        <w:rPr>
          <w:highlight w:val="none"/>
        </w:rPr>
        <w:fldChar w:fldCharType="begin"/>
      </w:r>
      <w:r>
        <w:rPr>
          <w:highlight w:val="none"/>
        </w:rPr>
        <w:instrText xml:space="preserve"> PAGEREF _Toc28940 \h </w:instrText>
      </w:r>
      <w:r>
        <w:rPr>
          <w:highlight w:val="none"/>
        </w:rPr>
        <w:fldChar w:fldCharType="separate"/>
      </w:r>
      <w:r>
        <w:rPr>
          <w:highlight w:val="none"/>
        </w:rPr>
        <w:t>11</w:t>
      </w:r>
      <w:r>
        <w:rPr>
          <w:highlight w:val="none"/>
        </w:rPr>
        <w:fldChar w:fldCharType="end"/>
      </w:r>
      <w:r>
        <w:rPr>
          <w:highlight w:val="none"/>
        </w:rPr>
        <w:fldChar w:fldCharType="end"/>
      </w:r>
    </w:p>
    <w:p w14:paraId="25EA8CBB">
      <w:pPr>
        <w:pStyle w:val="13"/>
        <w:tabs>
          <w:tab w:val="right" w:leader="dot" w:pos="8306"/>
        </w:tabs>
        <w:ind w:left="840"/>
        <w:rPr>
          <w:highlight w:val="none"/>
        </w:rPr>
      </w:pPr>
      <w:r>
        <w:rPr>
          <w:highlight w:val="none"/>
        </w:rPr>
        <w:fldChar w:fldCharType="begin"/>
      </w:r>
      <w:r>
        <w:rPr>
          <w:highlight w:val="none"/>
        </w:rPr>
        <w:instrText xml:space="preserve"> HYPERLINK \l "_Toc31490" </w:instrText>
      </w:r>
      <w:r>
        <w:rPr>
          <w:highlight w:val="none"/>
        </w:rPr>
        <w:fldChar w:fldCharType="separate"/>
      </w:r>
      <w:r>
        <w:rPr>
          <w:rFonts w:ascii="宋体" w:hAnsi="宋体"/>
          <w:highlight w:val="none"/>
        </w:rPr>
        <w:t>1.10投标预备会</w:t>
      </w:r>
      <w:r>
        <w:rPr>
          <w:highlight w:val="none"/>
        </w:rPr>
        <w:tab/>
      </w:r>
      <w:r>
        <w:rPr>
          <w:highlight w:val="none"/>
        </w:rPr>
        <w:fldChar w:fldCharType="begin"/>
      </w:r>
      <w:r>
        <w:rPr>
          <w:highlight w:val="none"/>
        </w:rPr>
        <w:instrText xml:space="preserve"> PAGEREF _Toc31490 \h </w:instrText>
      </w:r>
      <w:r>
        <w:rPr>
          <w:highlight w:val="none"/>
        </w:rPr>
        <w:fldChar w:fldCharType="separate"/>
      </w:r>
      <w:r>
        <w:rPr>
          <w:highlight w:val="none"/>
        </w:rPr>
        <w:t>12</w:t>
      </w:r>
      <w:r>
        <w:rPr>
          <w:highlight w:val="none"/>
        </w:rPr>
        <w:fldChar w:fldCharType="end"/>
      </w:r>
      <w:r>
        <w:rPr>
          <w:highlight w:val="none"/>
        </w:rPr>
        <w:fldChar w:fldCharType="end"/>
      </w:r>
    </w:p>
    <w:p w14:paraId="330FC510">
      <w:pPr>
        <w:pStyle w:val="13"/>
        <w:tabs>
          <w:tab w:val="right" w:leader="dot" w:pos="8306"/>
        </w:tabs>
        <w:ind w:left="840"/>
        <w:rPr>
          <w:highlight w:val="none"/>
        </w:rPr>
      </w:pPr>
      <w:r>
        <w:rPr>
          <w:highlight w:val="none"/>
        </w:rPr>
        <w:fldChar w:fldCharType="begin"/>
      </w:r>
      <w:r>
        <w:rPr>
          <w:highlight w:val="none"/>
        </w:rPr>
        <w:instrText xml:space="preserve"> HYPERLINK \l "_Toc23989" </w:instrText>
      </w:r>
      <w:r>
        <w:rPr>
          <w:highlight w:val="none"/>
        </w:rPr>
        <w:fldChar w:fldCharType="separate"/>
      </w:r>
      <w:r>
        <w:rPr>
          <w:rFonts w:ascii="宋体" w:hAnsi="宋体"/>
          <w:highlight w:val="none"/>
        </w:rPr>
        <w:t>1.11分包</w:t>
      </w:r>
      <w:r>
        <w:rPr>
          <w:highlight w:val="none"/>
        </w:rPr>
        <w:tab/>
      </w:r>
      <w:r>
        <w:rPr>
          <w:highlight w:val="none"/>
        </w:rPr>
        <w:fldChar w:fldCharType="begin"/>
      </w:r>
      <w:r>
        <w:rPr>
          <w:highlight w:val="none"/>
        </w:rPr>
        <w:instrText xml:space="preserve"> PAGEREF _Toc23989 \h </w:instrText>
      </w:r>
      <w:r>
        <w:rPr>
          <w:highlight w:val="none"/>
        </w:rPr>
        <w:fldChar w:fldCharType="separate"/>
      </w:r>
      <w:r>
        <w:rPr>
          <w:highlight w:val="none"/>
        </w:rPr>
        <w:t>12</w:t>
      </w:r>
      <w:r>
        <w:rPr>
          <w:highlight w:val="none"/>
        </w:rPr>
        <w:fldChar w:fldCharType="end"/>
      </w:r>
      <w:r>
        <w:rPr>
          <w:highlight w:val="none"/>
        </w:rPr>
        <w:fldChar w:fldCharType="end"/>
      </w:r>
    </w:p>
    <w:p w14:paraId="4596F001">
      <w:pPr>
        <w:pStyle w:val="13"/>
        <w:tabs>
          <w:tab w:val="right" w:leader="dot" w:pos="8306"/>
        </w:tabs>
        <w:ind w:left="840"/>
        <w:rPr>
          <w:highlight w:val="none"/>
        </w:rPr>
      </w:pPr>
      <w:r>
        <w:rPr>
          <w:highlight w:val="none"/>
        </w:rPr>
        <w:fldChar w:fldCharType="begin"/>
      </w:r>
      <w:r>
        <w:rPr>
          <w:highlight w:val="none"/>
        </w:rPr>
        <w:instrText xml:space="preserve"> HYPERLINK \l "_Toc13710" </w:instrText>
      </w:r>
      <w:r>
        <w:rPr>
          <w:highlight w:val="none"/>
        </w:rPr>
        <w:fldChar w:fldCharType="separate"/>
      </w:r>
      <w:r>
        <w:rPr>
          <w:rFonts w:ascii="宋体" w:hAnsi="宋体"/>
          <w:highlight w:val="none"/>
        </w:rPr>
        <w:t>1.12响应和偏差</w:t>
      </w:r>
      <w:r>
        <w:rPr>
          <w:highlight w:val="none"/>
        </w:rPr>
        <w:tab/>
      </w:r>
      <w:r>
        <w:rPr>
          <w:highlight w:val="none"/>
        </w:rPr>
        <w:fldChar w:fldCharType="begin"/>
      </w:r>
      <w:r>
        <w:rPr>
          <w:highlight w:val="none"/>
        </w:rPr>
        <w:instrText xml:space="preserve"> PAGEREF _Toc13710 \h </w:instrText>
      </w:r>
      <w:r>
        <w:rPr>
          <w:highlight w:val="none"/>
        </w:rPr>
        <w:fldChar w:fldCharType="separate"/>
      </w:r>
      <w:r>
        <w:rPr>
          <w:highlight w:val="none"/>
        </w:rPr>
        <w:t>12</w:t>
      </w:r>
      <w:r>
        <w:rPr>
          <w:highlight w:val="none"/>
        </w:rPr>
        <w:fldChar w:fldCharType="end"/>
      </w:r>
      <w:r>
        <w:rPr>
          <w:highlight w:val="none"/>
        </w:rPr>
        <w:fldChar w:fldCharType="end"/>
      </w:r>
    </w:p>
    <w:p w14:paraId="77EA004B">
      <w:pPr>
        <w:pStyle w:val="23"/>
        <w:tabs>
          <w:tab w:val="right" w:leader="dot" w:pos="8306"/>
        </w:tabs>
        <w:ind w:left="420"/>
        <w:rPr>
          <w:highlight w:val="none"/>
        </w:rPr>
      </w:pPr>
      <w:r>
        <w:rPr>
          <w:highlight w:val="none"/>
        </w:rPr>
        <w:fldChar w:fldCharType="begin"/>
      </w:r>
      <w:r>
        <w:rPr>
          <w:highlight w:val="none"/>
        </w:rPr>
        <w:instrText xml:space="preserve"> HYPERLINK \l "_Toc26909" </w:instrText>
      </w:r>
      <w:r>
        <w:rPr>
          <w:highlight w:val="none"/>
        </w:rPr>
        <w:fldChar w:fldCharType="separate"/>
      </w:r>
      <w:r>
        <w:rPr>
          <w:highlight w:val="none"/>
        </w:rPr>
        <w:t>2.招标文件</w:t>
      </w:r>
      <w:r>
        <w:rPr>
          <w:highlight w:val="none"/>
        </w:rPr>
        <w:tab/>
      </w:r>
      <w:r>
        <w:rPr>
          <w:highlight w:val="none"/>
        </w:rPr>
        <w:fldChar w:fldCharType="begin"/>
      </w:r>
      <w:r>
        <w:rPr>
          <w:highlight w:val="none"/>
        </w:rPr>
        <w:instrText xml:space="preserve"> PAGEREF _Toc26909 \h </w:instrText>
      </w:r>
      <w:r>
        <w:rPr>
          <w:highlight w:val="none"/>
        </w:rPr>
        <w:fldChar w:fldCharType="separate"/>
      </w:r>
      <w:r>
        <w:rPr>
          <w:highlight w:val="none"/>
        </w:rPr>
        <w:t>12</w:t>
      </w:r>
      <w:r>
        <w:rPr>
          <w:highlight w:val="none"/>
        </w:rPr>
        <w:fldChar w:fldCharType="end"/>
      </w:r>
      <w:r>
        <w:rPr>
          <w:highlight w:val="none"/>
        </w:rPr>
        <w:fldChar w:fldCharType="end"/>
      </w:r>
    </w:p>
    <w:p w14:paraId="2199F30D">
      <w:pPr>
        <w:pStyle w:val="13"/>
        <w:tabs>
          <w:tab w:val="right" w:leader="dot" w:pos="8306"/>
        </w:tabs>
        <w:ind w:left="840"/>
        <w:rPr>
          <w:highlight w:val="none"/>
        </w:rPr>
      </w:pPr>
      <w:r>
        <w:rPr>
          <w:highlight w:val="none"/>
        </w:rPr>
        <w:fldChar w:fldCharType="begin"/>
      </w:r>
      <w:r>
        <w:rPr>
          <w:highlight w:val="none"/>
        </w:rPr>
        <w:instrText xml:space="preserve"> HYPERLINK \l "_Toc11346" </w:instrText>
      </w:r>
      <w:r>
        <w:rPr>
          <w:highlight w:val="none"/>
        </w:rPr>
        <w:fldChar w:fldCharType="separate"/>
      </w:r>
      <w:r>
        <w:rPr>
          <w:rFonts w:ascii="宋体" w:hAnsi="宋体"/>
          <w:highlight w:val="none"/>
        </w:rPr>
        <w:t>2.1招标文件的组成</w:t>
      </w:r>
      <w:r>
        <w:rPr>
          <w:highlight w:val="none"/>
        </w:rPr>
        <w:tab/>
      </w:r>
      <w:r>
        <w:rPr>
          <w:highlight w:val="none"/>
        </w:rPr>
        <w:fldChar w:fldCharType="begin"/>
      </w:r>
      <w:r>
        <w:rPr>
          <w:highlight w:val="none"/>
        </w:rPr>
        <w:instrText xml:space="preserve"> PAGEREF _Toc11346 \h </w:instrText>
      </w:r>
      <w:r>
        <w:rPr>
          <w:highlight w:val="none"/>
        </w:rPr>
        <w:fldChar w:fldCharType="separate"/>
      </w:r>
      <w:r>
        <w:rPr>
          <w:highlight w:val="none"/>
        </w:rPr>
        <w:t>12</w:t>
      </w:r>
      <w:r>
        <w:rPr>
          <w:highlight w:val="none"/>
        </w:rPr>
        <w:fldChar w:fldCharType="end"/>
      </w:r>
      <w:r>
        <w:rPr>
          <w:highlight w:val="none"/>
        </w:rPr>
        <w:fldChar w:fldCharType="end"/>
      </w:r>
    </w:p>
    <w:p w14:paraId="447D24E3">
      <w:pPr>
        <w:pStyle w:val="13"/>
        <w:tabs>
          <w:tab w:val="right" w:leader="dot" w:pos="8306"/>
        </w:tabs>
        <w:ind w:left="840"/>
        <w:rPr>
          <w:highlight w:val="none"/>
        </w:rPr>
      </w:pPr>
      <w:r>
        <w:rPr>
          <w:highlight w:val="none"/>
        </w:rPr>
        <w:fldChar w:fldCharType="begin"/>
      </w:r>
      <w:r>
        <w:rPr>
          <w:highlight w:val="none"/>
        </w:rPr>
        <w:instrText xml:space="preserve"> HYPERLINK \l "_Toc23421" </w:instrText>
      </w:r>
      <w:r>
        <w:rPr>
          <w:highlight w:val="none"/>
        </w:rPr>
        <w:fldChar w:fldCharType="separate"/>
      </w:r>
      <w:r>
        <w:rPr>
          <w:rFonts w:ascii="宋体" w:hAnsi="宋体"/>
          <w:highlight w:val="none"/>
        </w:rPr>
        <w:t>2.2招标文件的澄清</w:t>
      </w:r>
      <w:r>
        <w:rPr>
          <w:highlight w:val="none"/>
        </w:rPr>
        <w:tab/>
      </w:r>
      <w:r>
        <w:rPr>
          <w:highlight w:val="none"/>
        </w:rPr>
        <w:fldChar w:fldCharType="begin"/>
      </w:r>
      <w:r>
        <w:rPr>
          <w:highlight w:val="none"/>
        </w:rPr>
        <w:instrText xml:space="preserve"> PAGEREF _Toc23421 \h </w:instrText>
      </w:r>
      <w:r>
        <w:rPr>
          <w:highlight w:val="none"/>
        </w:rPr>
        <w:fldChar w:fldCharType="separate"/>
      </w:r>
      <w:r>
        <w:rPr>
          <w:highlight w:val="none"/>
        </w:rPr>
        <w:t>13</w:t>
      </w:r>
      <w:r>
        <w:rPr>
          <w:highlight w:val="none"/>
        </w:rPr>
        <w:fldChar w:fldCharType="end"/>
      </w:r>
      <w:r>
        <w:rPr>
          <w:highlight w:val="none"/>
        </w:rPr>
        <w:fldChar w:fldCharType="end"/>
      </w:r>
    </w:p>
    <w:p w14:paraId="753361DF">
      <w:pPr>
        <w:pStyle w:val="13"/>
        <w:tabs>
          <w:tab w:val="right" w:leader="dot" w:pos="8306"/>
        </w:tabs>
        <w:ind w:left="840"/>
        <w:rPr>
          <w:highlight w:val="none"/>
        </w:rPr>
      </w:pPr>
      <w:r>
        <w:rPr>
          <w:highlight w:val="none"/>
        </w:rPr>
        <w:fldChar w:fldCharType="begin"/>
      </w:r>
      <w:r>
        <w:rPr>
          <w:highlight w:val="none"/>
        </w:rPr>
        <w:instrText xml:space="preserve"> HYPERLINK \l "_Toc27723" </w:instrText>
      </w:r>
      <w:r>
        <w:rPr>
          <w:highlight w:val="none"/>
        </w:rPr>
        <w:fldChar w:fldCharType="separate"/>
      </w:r>
      <w:r>
        <w:rPr>
          <w:rFonts w:ascii="宋体" w:hAnsi="宋体"/>
          <w:highlight w:val="none"/>
        </w:rPr>
        <w:t>2.3招标文件的修改</w:t>
      </w:r>
      <w:r>
        <w:rPr>
          <w:highlight w:val="none"/>
        </w:rPr>
        <w:tab/>
      </w:r>
      <w:r>
        <w:rPr>
          <w:highlight w:val="none"/>
        </w:rPr>
        <w:fldChar w:fldCharType="begin"/>
      </w:r>
      <w:r>
        <w:rPr>
          <w:highlight w:val="none"/>
        </w:rPr>
        <w:instrText xml:space="preserve"> PAGEREF _Toc27723 \h </w:instrText>
      </w:r>
      <w:r>
        <w:rPr>
          <w:highlight w:val="none"/>
        </w:rPr>
        <w:fldChar w:fldCharType="separate"/>
      </w:r>
      <w:r>
        <w:rPr>
          <w:highlight w:val="none"/>
        </w:rPr>
        <w:t>13</w:t>
      </w:r>
      <w:r>
        <w:rPr>
          <w:highlight w:val="none"/>
        </w:rPr>
        <w:fldChar w:fldCharType="end"/>
      </w:r>
      <w:r>
        <w:rPr>
          <w:highlight w:val="none"/>
        </w:rPr>
        <w:fldChar w:fldCharType="end"/>
      </w:r>
    </w:p>
    <w:p w14:paraId="58AEEA50">
      <w:pPr>
        <w:pStyle w:val="13"/>
        <w:tabs>
          <w:tab w:val="right" w:leader="dot" w:pos="8306"/>
        </w:tabs>
        <w:ind w:left="840"/>
        <w:rPr>
          <w:highlight w:val="none"/>
        </w:rPr>
      </w:pPr>
      <w:r>
        <w:rPr>
          <w:highlight w:val="none"/>
        </w:rPr>
        <w:fldChar w:fldCharType="begin"/>
      </w:r>
      <w:r>
        <w:rPr>
          <w:highlight w:val="none"/>
        </w:rPr>
        <w:instrText xml:space="preserve"> HYPERLINK \l "_Toc1246" </w:instrText>
      </w:r>
      <w:r>
        <w:rPr>
          <w:highlight w:val="none"/>
        </w:rPr>
        <w:fldChar w:fldCharType="separate"/>
      </w:r>
      <w:r>
        <w:rPr>
          <w:rFonts w:ascii="宋体" w:hAnsi="宋体"/>
          <w:highlight w:val="none"/>
        </w:rPr>
        <w:t>2.4招标文件的异议</w:t>
      </w:r>
      <w:r>
        <w:rPr>
          <w:highlight w:val="none"/>
        </w:rPr>
        <w:tab/>
      </w:r>
      <w:r>
        <w:rPr>
          <w:highlight w:val="none"/>
        </w:rPr>
        <w:fldChar w:fldCharType="begin"/>
      </w:r>
      <w:r>
        <w:rPr>
          <w:highlight w:val="none"/>
        </w:rPr>
        <w:instrText xml:space="preserve"> PAGEREF _Toc1246 \h </w:instrText>
      </w:r>
      <w:r>
        <w:rPr>
          <w:highlight w:val="none"/>
        </w:rPr>
        <w:fldChar w:fldCharType="separate"/>
      </w:r>
      <w:r>
        <w:rPr>
          <w:highlight w:val="none"/>
        </w:rPr>
        <w:t>13</w:t>
      </w:r>
      <w:r>
        <w:rPr>
          <w:highlight w:val="none"/>
        </w:rPr>
        <w:fldChar w:fldCharType="end"/>
      </w:r>
      <w:r>
        <w:rPr>
          <w:highlight w:val="none"/>
        </w:rPr>
        <w:fldChar w:fldCharType="end"/>
      </w:r>
    </w:p>
    <w:p w14:paraId="3F6EFB24">
      <w:pPr>
        <w:pStyle w:val="23"/>
        <w:tabs>
          <w:tab w:val="right" w:leader="dot" w:pos="8306"/>
        </w:tabs>
        <w:ind w:left="420"/>
        <w:rPr>
          <w:highlight w:val="none"/>
        </w:rPr>
      </w:pPr>
      <w:r>
        <w:rPr>
          <w:highlight w:val="none"/>
        </w:rPr>
        <w:fldChar w:fldCharType="begin"/>
      </w:r>
      <w:r>
        <w:rPr>
          <w:highlight w:val="none"/>
        </w:rPr>
        <w:instrText xml:space="preserve"> HYPERLINK \l "_Toc10331" </w:instrText>
      </w:r>
      <w:r>
        <w:rPr>
          <w:highlight w:val="none"/>
        </w:rPr>
        <w:fldChar w:fldCharType="separate"/>
      </w:r>
      <w:r>
        <w:rPr>
          <w:highlight w:val="none"/>
        </w:rPr>
        <w:t xml:space="preserve">3. </w:t>
      </w:r>
      <w:r>
        <w:rPr>
          <w:rFonts w:hint="eastAsia"/>
          <w:highlight w:val="none"/>
        </w:rPr>
        <w:t>投标文件</w:t>
      </w:r>
      <w:r>
        <w:rPr>
          <w:highlight w:val="none"/>
        </w:rPr>
        <w:tab/>
      </w:r>
      <w:r>
        <w:rPr>
          <w:highlight w:val="none"/>
        </w:rPr>
        <w:fldChar w:fldCharType="begin"/>
      </w:r>
      <w:r>
        <w:rPr>
          <w:highlight w:val="none"/>
        </w:rPr>
        <w:instrText xml:space="preserve"> PAGEREF _Toc10331 \h </w:instrText>
      </w:r>
      <w:r>
        <w:rPr>
          <w:highlight w:val="none"/>
        </w:rPr>
        <w:fldChar w:fldCharType="separate"/>
      </w:r>
      <w:r>
        <w:rPr>
          <w:highlight w:val="none"/>
        </w:rPr>
        <w:t>13</w:t>
      </w:r>
      <w:r>
        <w:rPr>
          <w:highlight w:val="none"/>
        </w:rPr>
        <w:fldChar w:fldCharType="end"/>
      </w:r>
      <w:r>
        <w:rPr>
          <w:highlight w:val="none"/>
        </w:rPr>
        <w:fldChar w:fldCharType="end"/>
      </w:r>
    </w:p>
    <w:p w14:paraId="4201BAC7">
      <w:pPr>
        <w:pStyle w:val="13"/>
        <w:tabs>
          <w:tab w:val="right" w:leader="dot" w:pos="8306"/>
        </w:tabs>
        <w:ind w:left="840"/>
        <w:rPr>
          <w:highlight w:val="none"/>
        </w:rPr>
      </w:pPr>
      <w:r>
        <w:rPr>
          <w:highlight w:val="none"/>
        </w:rPr>
        <w:fldChar w:fldCharType="begin"/>
      </w:r>
      <w:r>
        <w:rPr>
          <w:highlight w:val="none"/>
        </w:rPr>
        <w:instrText xml:space="preserve"> HYPERLINK \l "_Toc19377" </w:instrText>
      </w:r>
      <w:r>
        <w:rPr>
          <w:highlight w:val="none"/>
        </w:rPr>
        <w:fldChar w:fldCharType="separate"/>
      </w:r>
      <w:r>
        <w:rPr>
          <w:rFonts w:ascii="宋体" w:hAnsi="宋体"/>
          <w:highlight w:val="none"/>
        </w:rPr>
        <w:t>3.1投标文件的组成</w:t>
      </w:r>
      <w:r>
        <w:rPr>
          <w:highlight w:val="none"/>
        </w:rPr>
        <w:tab/>
      </w:r>
      <w:r>
        <w:rPr>
          <w:highlight w:val="none"/>
        </w:rPr>
        <w:fldChar w:fldCharType="begin"/>
      </w:r>
      <w:r>
        <w:rPr>
          <w:highlight w:val="none"/>
        </w:rPr>
        <w:instrText xml:space="preserve"> PAGEREF _Toc19377 \h </w:instrText>
      </w:r>
      <w:r>
        <w:rPr>
          <w:highlight w:val="none"/>
        </w:rPr>
        <w:fldChar w:fldCharType="separate"/>
      </w:r>
      <w:r>
        <w:rPr>
          <w:highlight w:val="none"/>
        </w:rPr>
        <w:t>13</w:t>
      </w:r>
      <w:r>
        <w:rPr>
          <w:highlight w:val="none"/>
        </w:rPr>
        <w:fldChar w:fldCharType="end"/>
      </w:r>
      <w:r>
        <w:rPr>
          <w:highlight w:val="none"/>
        </w:rPr>
        <w:fldChar w:fldCharType="end"/>
      </w:r>
    </w:p>
    <w:p w14:paraId="10F19B19">
      <w:pPr>
        <w:pStyle w:val="13"/>
        <w:tabs>
          <w:tab w:val="right" w:leader="dot" w:pos="8306"/>
        </w:tabs>
        <w:ind w:left="840"/>
        <w:rPr>
          <w:highlight w:val="none"/>
        </w:rPr>
      </w:pPr>
      <w:r>
        <w:rPr>
          <w:highlight w:val="none"/>
        </w:rPr>
        <w:fldChar w:fldCharType="begin"/>
      </w:r>
      <w:r>
        <w:rPr>
          <w:highlight w:val="none"/>
        </w:rPr>
        <w:instrText xml:space="preserve"> HYPERLINK \l "_Toc30715" </w:instrText>
      </w:r>
      <w:r>
        <w:rPr>
          <w:highlight w:val="none"/>
        </w:rPr>
        <w:fldChar w:fldCharType="separate"/>
      </w:r>
      <w:r>
        <w:rPr>
          <w:rFonts w:ascii="宋体" w:hAnsi="宋体"/>
          <w:highlight w:val="none"/>
        </w:rPr>
        <w:t>3.2投标报价</w:t>
      </w:r>
      <w:r>
        <w:rPr>
          <w:highlight w:val="none"/>
        </w:rPr>
        <w:tab/>
      </w:r>
      <w:r>
        <w:rPr>
          <w:highlight w:val="none"/>
        </w:rPr>
        <w:fldChar w:fldCharType="begin"/>
      </w:r>
      <w:r>
        <w:rPr>
          <w:highlight w:val="none"/>
        </w:rPr>
        <w:instrText xml:space="preserve"> PAGEREF _Toc30715 \h </w:instrText>
      </w:r>
      <w:r>
        <w:rPr>
          <w:highlight w:val="none"/>
        </w:rPr>
        <w:fldChar w:fldCharType="separate"/>
      </w:r>
      <w:r>
        <w:rPr>
          <w:highlight w:val="none"/>
        </w:rPr>
        <w:t>14</w:t>
      </w:r>
      <w:r>
        <w:rPr>
          <w:highlight w:val="none"/>
        </w:rPr>
        <w:fldChar w:fldCharType="end"/>
      </w:r>
      <w:r>
        <w:rPr>
          <w:highlight w:val="none"/>
        </w:rPr>
        <w:fldChar w:fldCharType="end"/>
      </w:r>
    </w:p>
    <w:p w14:paraId="4EB925B1">
      <w:pPr>
        <w:pStyle w:val="13"/>
        <w:tabs>
          <w:tab w:val="right" w:leader="dot" w:pos="8306"/>
        </w:tabs>
        <w:ind w:left="840"/>
        <w:rPr>
          <w:highlight w:val="none"/>
        </w:rPr>
      </w:pPr>
      <w:r>
        <w:rPr>
          <w:highlight w:val="none"/>
        </w:rPr>
        <w:fldChar w:fldCharType="begin"/>
      </w:r>
      <w:r>
        <w:rPr>
          <w:highlight w:val="none"/>
        </w:rPr>
        <w:instrText xml:space="preserve"> HYPERLINK \l "_Toc12586" </w:instrText>
      </w:r>
      <w:r>
        <w:rPr>
          <w:highlight w:val="none"/>
        </w:rPr>
        <w:fldChar w:fldCharType="separate"/>
      </w:r>
      <w:r>
        <w:rPr>
          <w:rFonts w:ascii="宋体" w:hAnsi="宋体"/>
          <w:highlight w:val="none"/>
        </w:rPr>
        <w:t>3.3投标有效期</w:t>
      </w:r>
      <w:r>
        <w:rPr>
          <w:highlight w:val="none"/>
        </w:rPr>
        <w:tab/>
      </w:r>
      <w:r>
        <w:rPr>
          <w:highlight w:val="none"/>
        </w:rPr>
        <w:fldChar w:fldCharType="begin"/>
      </w:r>
      <w:r>
        <w:rPr>
          <w:highlight w:val="none"/>
        </w:rPr>
        <w:instrText xml:space="preserve"> PAGEREF _Toc12586 \h </w:instrText>
      </w:r>
      <w:r>
        <w:rPr>
          <w:highlight w:val="none"/>
        </w:rPr>
        <w:fldChar w:fldCharType="separate"/>
      </w:r>
      <w:r>
        <w:rPr>
          <w:highlight w:val="none"/>
        </w:rPr>
        <w:t>14</w:t>
      </w:r>
      <w:r>
        <w:rPr>
          <w:highlight w:val="none"/>
        </w:rPr>
        <w:fldChar w:fldCharType="end"/>
      </w:r>
      <w:r>
        <w:rPr>
          <w:highlight w:val="none"/>
        </w:rPr>
        <w:fldChar w:fldCharType="end"/>
      </w:r>
    </w:p>
    <w:p w14:paraId="0F54CF0C">
      <w:pPr>
        <w:pStyle w:val="13"/>
        <w:tabs>
          <w:tab w:val="right" w:leader="dot" w:pos="8306"/>
        </w:tabs>
        <w:ind w:left="840"/>
        <w:rPr>
          <w:highlight w:val="none"/>
        </w:rPr>
      </w:pPr>
      <w:r>
        <w:rPr>
          <w:highlight w:val="none"/>
        </w:rPr>
        <w:fldChar w:fldCharType="begin"/>
      </w:r>
      <w:r>
        <w:rPr>
          <w:highlight w:val="none"/>
        </w:rPr>
        <w:instrText xml:space="preserve"> HYPERLINK \l "_Toc2213" </w:instrText>
      </w:r>
      <w:r>
        <w:rPr>
          <w:highlight w:val="none"/>
        </w:rPr>
        <w:fldChar w:fldCharType="separate"/>
      </w:r>
      <w:r>
        <w:rPr>
          <w:rFonts w:ascii="宋体" w:hAnsi="宋体"/>
          <w:highlight w:val="none"/>
        </w:rPr>
        <w:t>3.4投标保证金</w:t>
      </w:r>
      <w:r>
        <w:rPr>
          <w:highlight w:val="none"/>
        </w:rPr>
        <w:tab/>
      </w:r>
      <w:r>
        <w:rPr>
          <w:highlight w:val="none"/>
        </w:rPr>
        <w:fldChar w:fldCharType="begin"/>
      </w:r>
      <w:r>
        <w:rPr>
          <w:highlight w:val="none"/>
        </w:rPr>
        <w:instrText xml:space="preserve"> PAGEREF _Toc2213 \h </w:instrText>
      </w:r>
      <w:r>
        <w:rPr>
          <w:highlight w:val="none"/>
        </w:rPr>
        <w:fldChar w:fldCharType="separate"/>
      </w:r>
      <w:r>
        <w:rPr>
          <w:highlight w:val="none"/>
        </w:rPr>
        <w:t>14</w:t>
      </w:r>
      <w:r>
        <w:rPr>
          <w:highlight w:val="none"/>
        </w:rPr>
        <w:fldChar w:fldCharType="end"/>
      </w:r>
      <w:r>
        <w:rPr>
          <w:highlight w:val="none"/>
        </w:rPr>
        <w:fldChar w:fldCharType="end"/>
      </w:r>
    </w:p>
    <w:p w14:paraId="24179BDC">
      <w:pPr>
        <w:pStyle w:val="13"/>
        <w:tabs>
          <w:tab w:val="right" w:leader="dot" w:pos="8306"/>
        </w:tabs>
        <w:ind w:left="840"/>
        <w:rPr>
          <w:highlight w:val="none"/>
        </w:rPr>
      </w:pPr>
      <w:r>
        <w:rPr>
          <w:highlight w:val="none"/>
        </w:rPr>
        <w:fldChar w:fldCharType="begin"/>
      </w:r>
      <w:r>
        <w:rPr>
          <w:highlight w:val="none"/>
        </w:rPr>
        <w:instrText xml:space="preserve"> HYPERLINK \l "_Toc400" </w:instrText>
      </w:r>
      <w:r>
        <w:rPr>
          <w:highlight w:val="none"/>
        </w:rPr>
        <w:fldChar w:fldCharType="separate"/>
      </w:r>
      <w:r>
        <w:rPr>
          <w:rFonts w:ascii="宋体" w:hAnsi="宋体"/>
          <w:highlight w:val="none"/>
        </w:rPr>
        <w:t xml:space="preserve">3.5 </w:t>
      </w:r>
      <w:r>
        <w:rPr>
          <w:rFonts w:hint="eastAsia" w:ascii="宋体" w:hAnsi="宋体"/>
          <w:highlight w:val="none"/>
        </w:rPr>
        <w:t>资格审查资料（适用于已进行资格预审的）</w:t>
      </w:r>
      <w:r>
        <w:rPr>
          <w:highlight w:val="none"/>
        </w:rPr>
        <w:tab/>
      </w:r>
      <w:r>
        <w:rPr>
          <w:highlight w:val="none"/>
        </w:rPr>
        <w:fldChar w:fldCharType="begin"/>
      </w:r>
      <w:r>
        <w:rPr>
          <w:highlight w:val="none"/>
        </w:rPr>
        <w:instrText xml:space="preserve"> PAGEREF _Toc400 \h </w:instrText>
      </w:r>
      <w:r>
        <w:rPr>
          <w:highlight w:val="none"/>
        </w:rPr>
        <w:fldChar w:fldCharType="separate"/>
      </w:r>
      <w:r>
        <w:rPr>
          <w:highlight w:val="none"/>
        </w:rPr>
        <w:t>15</w:t>
      </w:r>
      <w:r>
        <w:rPr>
          <w:highlight w:val="none"/>
        </w:rPr>
        <w:fldChar w:fldCharType="end"/>
      </w:r>
      <w:r>
        <w:rPr>
          <w:highlight w:val="none"/>
        </w:rPr>
        <w:fldChar w:fldCharType="end"/>
      </w:r>
    </w:p>
    <w:p w14:paraId="445012B8">
      <w:pPr>
        <w:pStyle w:val="13"/>
        <w:tabs>
          <w:tab w:val="right" w:leader="dot" w:pos="8306"/>
        </w:tabs>
        <w:ind w:left="840"/>
        <w:rPr>
          <w:highlight w:val="none"/>
        </w:rPr>
      </w:pPr>
      <w:r>
        <w:rPr>
          <w:highlight w:val="none"/>
        </w:rPr>
        <w:fldChar w:fldCharType="begin"/>
      </w:r>
      <w:r>
        <w:rPr>
          <w:highlight w:val="none"/>
        </w:rPr>
        <w:instrText xml:space="preserve"> HYPERLINK \l "_Toc16241" </w:instrText>
      </w:r>
      <w:r>
        <w:rPr>
          <w:highlight w:val="none"/>
        </w:rPr>
        <w:fldChar w:fldCharType="separate"/>
      </w:r>
      <w:r>
        <w:rPr>
          <w:rFonts w:ascii="宋体" w:hAnsi="宋体"/>
          <w:highlight w:val="none"/>
        </w:rPr>
        <w:t>3.5资格审查资料（适用于未进行资格预审的）</w:t>
      </w:r>
      <w:r>
        <w:rPr>
          <w:highlight w:val="none"/>
        </w:rPr>
        <w:tab/>
      </w:r>
      <w:r>
        <w:rPr>
          <w:highlight w:val="none"/>
        </w:rPr>
        <w:fldChar w:fldCharType="begin"/>
      </w:r>
      <w:r>
        <w:rPr>
          <w:highlight w:val="none"/>
        </w:rPr>
        <w:instrText xml:space="preserve"> PAGEREF _Toc16241 \h </w:instrText>
      </w:r>
      <w:r>
        <w:rPr>
          <w:highlight w:val="none"/>
        </w:rPr>
        <w:fldChar w:fldCharType="separate"/>
      </w:r>
      <w:r>
        <w:rPr>
          <w:highlight w:val="none"/>
        </w:rPr>
        <w:t>15</w:t>
      </w:r>
      <w:r>
        <w:rPr>
          <w:highlight w:val="none"/>
        </w:rPr>
        <w:fldChar w:fldCharType="end"/>
      </w:r>
      <w:r>
        <w:rPr>
          <w:highlight w:val="none"/>
        </w:rPr>
        <w:fldChar w:fldCharType="end"/>
      </w:r>
    </w:p>
    <w:p w14:paraId="3BDDC348">
      <w:pPr>
        <w:pStyle w:val="13"/>
        <w:tabs>
          <w:tab w:val="right" w:leader="dot" w:pos="8306"/>
        </w:tabs>
        <w:ind w:left="840"/>
        <w:rPr>
          <w:highlight w:val="none"/>
        </w:rPr>
      </w:pPr>
      <w:r>
        <w:rPr>
          <w:highlight w:val="none"/>
        </w:rPr>
        <w:fldChar w:fldCharType="begin"/>
      </w:r>
      <w:r>
        <w:rPr>
          <w:highlight w:val="none"/>
        </w:rPr>
        <w:instrText xml:space="preserve"> HYPERLINK \l "_Toc22486" </w:instrText>
      </w:r>
      <w:r>
        <w:rPr>
          <w:highlight w:val="none"/>
        </w:rPr>
        <w:fldChar w:fldCharType="separate"/>
      </w:r>
      <w:r>
        <w:rPr>
          <w:rFonts w:ascii="宋体" w:hAnsi="宋体"/>
          <w:highlight w:val="none"/>
        </w:rPr>
        <w:t>3.6备选投标方案</w:t>
      </w:r>
      <w:r>
        <w:rPr>
          <w:highlight w:val="none"/>
        </w:rPr>
        <w:tab/>
      </w:r>
      <w:r>
        <w:rPr>
          <w:highlight w:val="none"/>
        </w:rPr>
        <w:fldChar w:fldCharType="begin"/>
      </w:r>
      <w:r>
        <w:rPr>
          <w:highlight w:val="none"/>
        </w:rPr>
        <w:instrText xml:space="preserve"> PAGEREF _Toc22486 \h </w:instrText>
      </w:r>
      <w:r>
        <w:rPr>
          <w:highlight w:val="none"/>
        </w:rPr>
        <w:fldChar w:fldCharType="separate"/>
      </w:r>
      <w:r>
        <w:rPr>
          <w:highlight w:val="none"/>
        </w:rPr>
        <w:t>15</w:t>
      </w:r>
      <w:r>
        <w:rPr>
          <w:highlight w:val="none"/>
        </w:rPr>
        <w:fldChar w:fldCharType="end"/>
      </w:r>
      <w:r>
        <w:rPr>
          <w:highlight w:val="none"/>
        </w:rPr>
        <w:fldChar w:fldCharType="end"/>
      </w:r>
    </w:p>
    <w:p w14:paraId="35C6C52E">
      <w:pPr>
        <w:pStyle w:val="13"/>
        <w:tabs>
          <w:tab w:val="right" w:leader="dot" w:pos="8306"/>
        </w:tabs>
        <w:ind w:left="840"/>
        <w:rPr>
          <w:highlight w:val="none"/>
        </w:rPr>
      </w:pPr>
      <w:r>
        <w:rPr>
          <w:highlight w:val="none"/>
        </w:rPr>
        <w:fldChar w:fldCharType="begin"/>
      </w:r>
      <w:r>
        <w:rPr>
          <w:highlight w:val="none"/>
        </w:rPr>
        <w:instrText xml:space="preserve"> HYPERLINK \l "_Toc29883" </w:instrText>
      </w:r>
      <w:r>
        <w:rPr>
          <w:highlight w:val="none"/>
        </w:rPr>
        <w:fldChar w:fldCharType="separate"/>
      </w:r>
      <w:r>
        <w:rPr>
          <w:rFonts w:ascii="宋体" w:hAnsi="宋体"/>
          <w:highlight w:val="none"/>
        </w:rPr>
        <w:t>3.7投标文件的编制</w:t>
      </w:r>
      <w:r>
        <w:rPr>
          <w:highlight w:val="none"/>
        </w:rPr>
        <w:tab/>
      </w:r>
      <w:r>
        <w:rPr>
          <w:highlight w:val="none"/>
        </w:rPr>
        <w:fldChar w:fldCharType="begin"/>
      </w:r>
      <w:r>
        <w:rPr>
          <w:highlight w:val="none"/>
        </w:rPr>
        <w:instrText xml:space="preserve"> PAGEREF _Toc29883 \h </w:instrText>
      </w:r>
      <w:r>
        <w:rPr>
          <w:highlight w:val="none"/>
        </w:rPr>
        <w:fldChar w:fldCharType="separate"/>
      </w:r>
      <w:r>
        <w:rPr>
          <w:highlight w:val="none"/>
        </w:rPr>
        <w:t>15</w:t>
      </w:r>
      <w:r>
        <w:rPr>
          <w:highlight w:val="none"/>
        </w:rPr>
        <w:fldChar w:fldCharType="end"/>
      </w:r>
      <w:r>
        <w:rPr>
          <w:highlight w:val="none"/>
        </w:rPr>
        <w:fldChar w:fldCharType="end"/>
      </w:r>
    </w:p>
    <w:p w14:paraId="058093E2">
      <w:pPr>
        <w:pStyle w:val="23"/>
        <w:tabs>
          <w:tab w:val="right" w:leader="dot" w:pos="8306"/>
        </w:tabs>
        <w:ind w:left="420"/>
        <w:rPr>
          <w:highlight w:val="none"/>
        </w:rPr>
      </w:pPr>
      <w:r>
        <w:rPr>
          <w:highlight w:val="none"/>
        </w:rPr>
        <w:fldChar w:fldCharType="begin"/>
      </w:r>
      <w:r>
        <w:rPr>
          <w:highlight w:val="none"/>
        </w:rPr>
        <w:instrText xml:space="preserve"> HYPERLINK \l "_Toc5951" </w:instrText>
      </w:r>
      <w:r>
        <w:rPr>
          <w:highlight w:val="none"/>
        </w:rPr>
        <w:fldChar w:fldCharType="separate"/>
      </w:r>
      <w:r>
        <w:rPr>
          <w:highlight w:val="none"/>
        </w:rPr>
        <w:t>4.投标</w:t>
      </w:r>
      <w:r>
        <w:rPr>
          <w:highlight w:val="none"/>
        </w:rPr>
        <w:tab/>
      </w:r>
      <w:r>
        <w:rPr>
          <w:highlight w:val="none"/>
        </w:rPr>
        <w:fldChar w:fldCharType="begin"/>
      </w:r>
      <w:r>
        <w:rPr>
          <w:highlight w:val="none"/>
        </w:rPr>
        <w:instrText xml:space="preserve"> PAGEREF _Toc5951 \h </w:instrText>
      </w:r>
      <w:r>
        <w:rPr>
          <w:highlight w:val="none"/>
        </w:rPr>
        <w:fldChar w:fldCharType="separate"/>
      </w:r>
      <w:r>
        <w:rPr>
          <w:highlight w:val="none"/>
        </w:rPr>
        <w:t>16</w:t>
      </w:r>
      <w:r>
        <w:rPr>
          <w:highlight w:val="none"/>
        </w:rPr>
        <w:fldChar w:fldCharType="end"/>
      </w:r>
      <w:r>
        <w:rPr>
          <w:highlight w:val="none"/>
        </w:rPr>
        <w:fldChar w:fldCharType="end"/>
      </w:r>
    </w:p>
    <w:p w14:paraId="3A8A60AB">
      <w:pPr>
        <w:pStyle w:val="13"/>
        <w:tabs>
          <w:tab w:val="right" w:leader="dot" w:pos="8306"/>
        </w:tabs>
        <w:ind w:left="840"/>
        <w:rPr>
          <w:highlight w:val="none"/>
        </w:rPr>
      </w:pPr>
      <w:r>
        <w:rPr>
          <w:highlight w:val="none"/>
        </w:rPr>
        <w:fldChar w:fldCharType="begin"/>
      </w:r>
      <w:r>
        <w:rPr>
          <w:highlight w:val="none"/>
        </w:rPr>
        <w:instrText xml:space="preserve"> HYPERLINK \l "_Toc458" </w:instrText>
      </w:r>
      <w:r>
        <w:rPr>
          <w:highlight w:val="none"/>
        </w:rPr>
        <w:fldChar w:fldCharType="separate"/>
      </w:r>
      <w:r>
        <w:rPr>
          <w:rFonts w:ascii="宋体" w:hAnsi="宋体"/>
          <w:highlight w:val="none"/>
        </w:rPr>
        <w:t>4.1投标文件的密封和标记</w:t>
      </w:r>
      <w:r>
        <w:rPr>
          <w:highlight w:val="none"/>
        </w:rPr>
        <w:tab/>
      </w:r>
      <w:r>
        <w:rPr>
          <w:highlight w:val="none"/>
        </w:rPr>
        <w:fldChar w:fldCharType="begin"/>
      </w:r>
      <w:r>
        <w:rPr>
          <w:highlight w:val="none"/>
        </w:rPr>
        <w:instrText xml:space="preserve"> PAGEREF _Toc458 \h </w:instrText>
      </w:r>
      <w:r>
        <w:rPr>
          <w:highlight w:val="none"/>
        </w:rPr>
        <w:fldChar w:fldCharType="separate"/>
      </w:r>
      <w:r>
        <w:rPr>
          <w:highlight w:val="none"/>
        </w:rPr>
        <w:t>16</w:t>
      </w:r>
      <w:r>
        <w:rPr>
          <w:highlight w:val="none"/>
        </w:rPr>
        <w:fldChar w:fldCharType="end"/>
      </w:r>
      <w:r>
        <w:rPr>
          <w:highlight w:val="none"/>
        </w:rPr>
        <w:fldChar w:fldCharType="end"/>
      </w:r>
    </w:p>
    <w:p w14:paraId="3653E598">
      <w:pPr>
        <w:pStyle w:val="13"/>
        <w:tabs>
          <w:tab w:val="right" w:leader="dot" w:pos="8306"/>
        </w:tabs>
        <w:ind w:left="840"/>
        <w:rPr>
          <w:highlight w:val="none"/>
        </w:rPr>
      </w:pPr>
      <w:r>
        <w:rPr>
          <w:highlight w:val="none"/>
        </w:rPr>
        <w:fldChar w:fldCharType="begin"/>
      </w:r>
      <w:r>
        <w:rPr>
          <w:highlight w:val="none"/>
        </w:rPr>
        <w:instrText xml:space="preserve"> HYPERLINK \l "_Toc21209" </w:instrText>
      </w:r>
      <w:r>
        <w:rPr>
          <w:highlight w:val="none"/>
        </w:rPr>
        <w:fldChar w:fldCharType="separate"/>
      </w:r>
      <w:r>
        <w:rPr>
          <w:rFonts w:ascii="宋体" w:hAnsi="宋体"/>
          <w:highlight w:val="none"/>
        </w:rPr>
        <w:t>4.2投标文件的递交</w:t>
      </w:r>
      <w:r>
        <w:rPr>
          <w:highlight w:val="none"/>
        </w:rPr>
        <w:tab/>
      </w:r>
      <w:r>
        <w:rPr>
          <w:highlight w:val="none"/>
        </w:rPr>
        <w:fldChar w:fldCharType="begin"/>
      </w:r>
      <w:r>
        <w:rPr>
          <w:highlight w:val="none"/>
        </w:rPr>
        <w:instrText xml:space="preserve"> PAGEREF _Toc21209 \h </w:instrText>
      </w:r>
      <w:r>
        <w:rPr>
          <w:highlight w:val="none"/>
        </w:rPr>
        <w:fldChar w:fldCharType="separate"/>
      </w:r>
      <w:r>
        <w:rPr>
          <w:highlight w:val="none"/>
        </w:rPr>
        <w:t>16</w:t>
      </w:r>
      <w:r>
        <w:rPr>
          <w:highlight w:val="none"/>
        </w:rPr>
        <w:fldChar w:fldCharType="end"/>
      </w:r>
      <w:r>
        <w:rPr>
          <w:highlight w:val="none"/>
        </w:rPr>
        <w:fldChar w:fldCharType="end"/>
      </w:r>
    </w:p>
    <w:p w14:paraId="4CBE6A35">
      <w:pPr>
        <w:pStyle w:val="13"/>
        <w:tabs>
          <w:tab w:val="right" w:leader="dot" w:pos="8306"/>
        </w:tabs>
        <w:ind w:left="840"/>
        <w:rPr>
          <w:highlight w:val="none"/>
        </w:rPr>
      </w:pPr>
      <w:r>
        <w:rPr>
          <w:highlight w:val="none"/>
        </w:rPr>
        <w:fldChar w:fldCharType="begin"/>
      </w:r>
      <w:r>
        <w:rPr>
          <w:highlight w:val="none"/>
        </w:rPr>
        <w:instrText xml:space="preserve"> HYPERLINK \l "_Toc22730" </w:instrText>
      </w:r>
      <w:r>
        <w:rPr>
          <w:highlight w:val="none"/>
        </w:rPr>
        <w:fldChar w:fldCharType="separate"/>
      </w:r>
      <w:r>
        <w:rPr>
          <w:rFonts w:ascii="宋体" w:hAnsi="宋体"/>
          <w:highlight w:val="none"/>
        </w:rPr>
        <w:t>4.3投标文件的修改与撤回</w:t>
      </w:r>
      <w:r>
        <w:rPr>
          <w:highlight w:val="none"/>
        </w:rPr>
        <w:tab/>
      </w:r>
      <w:r>
        <w:rPr>
          <w:highlight w:val="none"/>
        </w:rPr>
        <w:fldChar w:fldCharType="begin"/>
      </w:r>
      <w:r>
        <w:rPr>
          <w:highlight w:val="none"/>
        </w:rPr>
        <w:instrText xml:space="preserve"> PAGEREF _Toc22730 \h </w:instrText>
      </w:r>
      <w:r>
        <w:rPr>
          <w:highlight w:val="none"/>
        </w:rPr>
        <w:fldChar w:fldCharType="separate"/>
      </w:r>
      <w:r>
        <w:rPr>
          <w:highlight w:val="none"/>
        </w:rPr>
        <w:t>16</w:t>
      </w:r>
      <w:r>
        <w:rPr>
          <w:highlight w:val="none"/>
        </w:rPr>
        <w:fldChar w:fldCharType="end"/>
      </w:r>
      <w:r>
        <w:rPr>
          <w:highlight w:val="none"/>
        </w:rPr>
        <w:fldChar w:fldCharType="end"/>
      </w:r>
    </w:p>
    <w:p w14:paraId="75164D74">
      <w:pPr>
        <w:pStyle w:val="23"/>
        <w:tabs>
          <w:tab w:val="right" w:leader="dot" w:pos="8306"/>
        </w:tabs>
        <w:ind w:left="420"/>
        <w:rPr>
          <w:highlight w:val="none"/>
        </w:rPr>
      </w:pPr>
      <w:r>
        <w:rPr>
          <w:highlight w:val="none"/>
        </w:rPr>
        <w:fldChar w:fldCharType="begin"/>
      </w:r>
      <w:r>
        <w:rPr>
          <w:highlight w:val="none"/>
        </w:rPr>
        <w:instrText xml:space="preserve"> HYPERLINK \l "_Toc6671" </w:instrText>
      </w:r>
      <w:r>
        <w:rPr>
          <w:highlight w:val="none"/>
        </w:rPr>
        <w:fldChar w:fldCharType="separate"/>
      </w:r>
      <w:r>
        <w:rPr>
          <w:highlight w:val="none"/>
        </w:rPr>
        <w:t xml:space="preserve">5. </w:t>
      </w:r>
      <w:r>
        <w:rPr>
          <w:rFonts w:hint="eastAsia"/>
          <w:highlight w:val="none"/>
        </w:rPr>
        <w:t>开标</w:t>
      </w:r>
      <w:r>
        <w:rPr>
          <w:highlight w:val="none"/>
        </w:rPr>
        <w:tab/>
      </w:r>
      <w:r>
        <w:rPr>
          <w:highlight w:val="none"/>
        </w:rPr>
        <w:fldChar w:fldCharType="begin"/>
      </w:r>
      <w:r>
        <w:rPr>
          <w:highlight w:val="none"/>
        </w:rPr>
        <w:instrText xml:space="preserve"> PAGEREF _Toc6671 \h </w:instrText>
      </w:r>
      <w:r>
        <w:rPr>
          <w:highlight w:val="none"/>
        </w:rPr>
        <w:fldChar w:fldCharType="separate"/>
      </w:r>
      <w:r>
        <w:rPr>
          <w:highlight w:val="none"/>
        </w:rPr>
        <w:t>17</w:t>
      </w:r>
      <w:r>
        <w:rPr>
          <w:highlight w:val="none"/>
        </w:rPr>
        <w:fldChar w:fldCharType="end"/>
      </w:r>
      <w:r>
        <w:rPr>
          <w:highlight w:val="none"/>
        </w:rPr>
        <w:fldChar w:fldCharType="end"/>
      </w:r>
    </w:p>
    <w:p w14:paraId="04B2BB43">
      <w:pPr>
        <w:pStyle w:val="13"/>
        <w:tabs>
          <w:tab w:val="right" w:leader="dot" w:pos="8306"/>
        </w:tabs>
        <w:ind w:left="840"/>
        <w:rPr>
          <w:highlight w:val="none"/>
        </w:rPr>
      </w:pPr>
      <w:r>
        <w:rPr>
          <w:highlight w:val="none"/>
        </w:rPr>
        <w:fldChar w:fldCharType="begin"/>
      </w:r>
      <w:r>
        <w:rPr>
          <w:highlight w:val="none"/>
        </w:rPr>
        <w:instrText xml:space="preserve"> HYPERLINK \l "_Toc24994" </w:instrText>
      </w:r>
      <w:r>
        <w:rPr>
          <w:highlight w:val="none"/>
        </w:rPr>
        <w:fldChar w:fldCharType="separate"/>
      </w:r>
      <w:r>
        <w:rPr>
          <w:rFonts w:ascii="宋体" w:hAnsi="宋体"/>
          <w:highlight w:val="none"/>
        </w:rPr>
        <w:t>5.1开标时间和地点（A）</w:t>
      </w:r>
      <w:r>
        <w:rPr>
          <w:highlight w:val="none"/>
        </w:rPr>
        <w:tab/>
      </w:r>
      <w:r>
        <w:rPr>
          <w:highlight w:val="none"/>
        </w:rPr>
        <w:fldChar w:fldCharType="begin"/>
      </w:r>
      <w:r>
        <w:rPr>
          <w:highlight w:val="none"/>
        </w:rPr>
        <w:instrText xml:space="preserve"> PAGEREF _Toc24994 \h </w:instrText>
      </w:r>
      <w:r>
        <w:rPr>
          <w:highlight w:val="none"/>
        </w:rPr>
        <w:fldChar w:fldCharType="separate"/>
      </w:r>
      <w:r>
        <w:rPr>
          <w:highlight w:val="none"/>
        </w:rPr>
        <w:t>17</w:t>
      </w:r>
      <w:r>
        <w:rPr>
          <w:highlight w:val="none"/>
        </w:rPr>
        <w:fldChar w:fldCharType="end"/>
      </w:r>
      <w:r>
        <w:rPr>
          <w:highlight w:val="none"/>
        </w:rPr>
        <w:fldChar w:fldCharType="end"/>
      </w:r>
    </w:p>
    <w:p w14:paraId="0D9A27B7">
      <w:pPr>
        <w:pStyle w:val="13"/>
        <w:tabs>
          <w:tab w:val="right" w:leader="dot" w:pos="8306"/>
        </w:tabs>
        <w:ind w:left="840"/>
        <w:rPr>
          <w:highlight w:val="none"/>
        </w:rPr>
      </w:pPr>
      <w:r>
        <w:rPr>
          <w:highlight w:val="none"/>
        </w:rPr>
        <w:fldChar w:fldCharType="begin"/>
      </w:r>
      <w:r>
        <w:rPr>
          <w:highlight w:val="none"/>
        </w:rPr>
        <w:instrText xml:space="preserve"> HYPERLINK \l "_Toc6831" </w:instrText>
      </w:r>
      <w:r>
        <w:rPr>
          <w:highlight w:val="none"/>
        </w:rPr>
        <w:fldChar w:fldCharType="separate"/>
      </w:r>
      <w:r>
        <w:rPr>
          <w:rFonts w:ascii="宋体" w:hAnsi="宋体"/>
          <w:highlight w:val="none"/>
        </w:rPr>
        <w:t>5.1开标时间和地点（B）</w:t>
      </w:r>
      <w:r>
        <w:rPr>
          <w:highlight w:val="none"/>
        </w:rPr>
        <w:tab/>
      </w:r>
      <w:r>
        <w:rPr>
          <w:highlight w:val="none"/>
        </w:rPr>
        <w:fldChar w:fldCharType="begin"/>
      </w:r>
      <w:r>
        <w:rPr>
          <w:highlight w:val="none"/>
        </w:rPr>
        <w:instrText xml:space="preserve"> PAGEREF _Toc6831 \h </w:instrText>
      </w:r>
      <w:r>
        <w:rPr>
          <w:highlight w:val="none"/>
        </w:rPr>
        <w:fldChar w:fldCharType="separate"/>
      </w:r>
      <w:r>
        <w:rPr>
          <w:highlight w:val="none"/>
        </w:rPr>
        <w:t>17</w:t>
      </w:r>
      <w:r>
        <w:rPr>
          <w:highlight w:val="none"/>
        </w:rPr>
        <w:fldChar w:fldCharType="end"/>
      </w:r>
      <w:r>
        <w:rPr>
          <w:highlight w:val="none"/>
        </w:rPr>
        <w:fldChar w:fldCharType="end"/>
      </w:r>
    </w:p>
    <w:p w14:paraId="32C5805E">
      <w:pPr>
        <w:pStyle w:val="13"/>
        <w:tabs>
          <w:tab w:val="right" w:leader="dot" w:pos="8306"/>
        </w:tabs>
        <w:ind w:left="840"/>
        <w:rPr>
          <w:highlight w:val="none"/>
        </w:rPr>
      </w:pPr>
      <w:r>
        <w:rPr>
          <w:highlight w:val="none"/>
        </w:rPr>
        <w:fldChar w:fldCharType="begin"/>
      </w:r>
      <w:r>
        <w:rPr>
          <w:highlight w:val="none"/>
        </w:rPr>
        <w:instrText xml:space="preserve"> HYPERLINK \l "_Toc27242" </w:instrText>
      </w:r>
      <w:r>
        <w:rPr>
          <w:highlight w:val="none"/>
        </w:rPr>
        <w:fldChar w:fldCharType="separate"/>
      </w:r>
      <w:r>
        <w:rPr>
          <w:rFonts w:ascii="宋体" w:hAnsi="宋体"/>
          <w:highlight w:val="none"/>
        </w:rPr>
        <w:t>5.2开标程序</w:t>
      </w:r>
      <w:r>
        <w:rPr>
          <w:highlight w:val="none"/>
        </w:rPr>
        <w:tab/>
      </w:r>
      <w:r>
        <w:rPr>
          <w:highlight w:val="none"/>
        </w:rPr>
        <w:fldChar w:fldCharType="begin"/>
      </w:r>
      <w:r>
        <w:rPr>
          <w:highlight w:val="none"/>
        </w:rPr>
        <w:instrText xml:space="preserve"> PAGEREF _Toc27242 \h </w:instrText>
      </w:r>
      <w:r>
        <w:rPr>
          <w:highlight w:val="none"/>
        </w:rPr>
        <w:fldChar w:fldCharType="separate"/>
      </w:r>
      <w:r>
        <w:rPr>
          <w:highlight w:val="none"/>
        </w:rPr>
        <w:t>17</w:t>
      </w:r>
      <w:r>
        <w:rPr>
          <w:highlight w:val="none"/>
        </w:rPr>
        <w:fldChar w:fldCharType="end"/>
      </w:r>
      <w:r>
        <w:rPr>
          <w:highlight w:val="none"/>
        </w:rPr>
        <w:fldChar w:fldCharType="end"/>
      </w:r>
    </w:p>
    <w:p w14:paraId="07066B6B">
      <w:pPr>
        <w:pStyle w:val="13"/>
        <w:tabs>
          <w:tab w:val="right" w:leader="dot" w:pos="8306"/>
        </w:tabs>
        <w:ind w:left="840"/>
        <w:rPr>
          <w:highlight w:val="none"/>
        </w:rPr>
      </w:pPr>
      <w:r>
        <w:rPr>
          <w:highlight w:val="none"/>
        </w:rPr>
        <w:fldChar w:fldCharType="begin"/>
      </w:r>
      <w:r>
        <w:rPr>
          <w:highlight w:val="none"/>
        </w:rPr>
        <w:instrText xml:space="preserve"> HYPERLINK \l "_Toc19459" </w:instrText>
      </w:r>
      <w:r>
        <w:rPr>
          <w:highlight w:val="none"/>
        </w:rPr>
        <w:fldChar w:fldCharType="separate"/>
      </w:r>
      <w:r>
        <w:rPr>
          <w:rFonts w:ascii="宋体" w:hAnsi="宋体"/>
          <w:highlight w:val="none"/>
        </w:rPr>
        <w:t>5.3开标异议</w:t>
      </w:r>
      <w:r>
        <w:rPr>
          <w:highlight w:val="none"/>
        </w:rPr>
        <w:tab/>
      </w:r>
      <w:r>
        <w:rPr>
          <w:highlight w:val="none"/>
        </w:rPr>
        <w:fldChar w:fldCharType="begin"/>
      </w:r>
      <w:r>
        <w:rPr>
          <w:highlight w:val="none"/>
        </w:rPr>
        <w:instrText xml:space="preserve"> PAGEREF _Toc19459 \h </w:instrText>
      </w:r>
      <w:r>
        <w:rPr>
          <w:highlight w:val="none"/>
        </w:rPr>
        <w:fldChar w:fldCharType="separate"/>
      </w:r>
      <w:r>
        <w:rPr>
          <w:highlight w:val="none"/>
        </w:rPr>
        <w:t>17</w:t>
      </w:r>
      <w:r>
        <w:rPr>
          <w:highlight w:val="none"/>
        </w:rPr>
        <w:fldChar w:fldCharType="end"/>
      </w:r>
      <w:r>
        <w:rPr>
          <w:highlight w:val="none"/>
        </w:rPr>
        <w:fldChar w:fldCharType="end"/>
      </w:r>
    </w:p>
    <w:p w14:paraId="4896BDCC">
      <w:pPr>
        <w:pStyle w:val="23"/>
        <w:tabs>
          <w:tab w:val="right" w:leader="dot" w:pos="8306"/>
        </w:tabs>
        <w:ind w:left="420"/>
        <w:rPr>
          <w:highlight w:val="none"/>
        </w:rPr>
      </w:pPr>
      <w:r>
        <w:rPr>
          <w:highlight w:val="none"/>
        </w:rPr>
        <w:fldChar w:fldCharType="begin"/>
      </w:r>
      <w:r>
        <w:rPr>
          <w:highlight w:val="none"/>
        </w:rPr>
        <w:instrText xml:space="preserve"> HYPERLINK \l "_Toc12424" </w:instrText>
      </w:r>
      <w:r>
        <w:rPr>
          <w:highlight w:val="none"/>
        </w:rPr>
        <w:fldChar w:fldCharType="separate"/>
      </w:r>
      <w:r>
        <w:rPr>
          <w:highlight w:val="none"/>
        </w:rPr>
        <w:t>6.评标</w:t>
      </w:r>
      <w:r>
        <w:rPr>
          <w:highlight w:val="none"/>
        </w:rPr>
        <w:tab/>
      </w:r>
      <w:r>
        <w:rPr>
          <w:highlight w:val="none"/>
        </w:rPr>
        <w:fldChar w:fldCharType="begin"/>
      </w:r>
      <w:r>
        <w:rPr>
          <w:highlight w:val="none"/>
        </w:rPr>
        <w:instrText xml:space="preserve"> PAGEREF _Toc12424 \h </w:instrText>
      </w:r>
      <w:r>
        <w:rPr>
          <w:highlight w:val="none"/>
        </w:rPr>
        <w:fldChar w:fldCharType="separate"/>
      </w:r>
      <w:r>
        <w:rPr>
          <w:highlight w:val="none"/>
        </w:rPr>
        <w:t>17</w:t>
      </w:r>
      <w:r>
        <w:rPr>
          <w:highlight w:val="none"/>
        </w:rPr>
        <w:fldChar w:fldCharType="end"/>
      </w:r>
      <w:r>
        <w:rPr>
          <w:highlight w:val="none"/>
        </w:rPr>
        <w:fldChar w:fldCharType="end"/>
      </w:r>
    </w:p>
    <w:p w14:paraId="66D872C4">
      <w:pPr>
        <w:pStyle w:val="13"/>
        <w:tabs>
          <w:tab w:val="right" w:leader="dot" w:pos="8306"/>
        </w:tabs>
        <w:ind w:left="840"/>
        <w:rPr>
          <w:highlight w:val="none"/>
        </w:rPr>
      </w:pPr>
      <w:r>
        <w:rPr>
          <w:highlight w:val="none"/>
        </w:rPr>
        <w:fldChar w:fldCharType="begin"/>
      </w:r>
      <w:r>
        <w:rPr>
          <w:highlight w:val="none"/>
        </w:rPr>
        <w:instrText xml:space="preserve"> HYPERLINK \l "_Toc13311" </w:instrText>
      </w:r>
      <w:r>
        <w:rPr>
          <w:highlight w:val="none"/>
        </w:rPr>
        <w:fldChar w:fldCharType="separate"/>
      </w:r>
      <w:r>
        <w:rPr>
          <w:rFonts w:ascii="宋体" w:hAnsi="宋体"/>
          <w:highlight w:val="none"/>
        </w:rPr>
        <w:t>6.1评标委员会</w:t>
      </w:r>
      <w:r>
        <w:rPr>
          <w:highlight w:val="none"/>
        </w:rPr>
        <w:tab/>
      </w:r>
      <w:r>
        <w:rPr>
          <w:highlight w:val="none"/>
        </w:rPr>
        <w:fldChar w:fldCharType="begin"/>
      </w:r>
      <w:r>
        <w:rPr>
          <w:highlight w:val="none"/>
        </w:rPr>
        <w:instrText xml:space="preserve"> PAGEREF _Toc13311 \h </w:instrText>
      </w:r>
      <w:r>
        <w:rPr>
          <w:highlight w:val="none"/>
        </w:rPr>
        <w:fldChar w:fldCharType="separate"/>
      </w:r>
      <w:r>
        <w:rPr>
          <w:highlight w:val="none"/>
        </w:rPr>
        <w:t>17</w:t>
      </w:r>
      <w:r>
        <w:rPr>
          <w:highlight w:val="none"/>
        </w:rPr>
        <w:fldChar w:fldCharType="end"/>
      </w:r>
      <w:r>
        <w:rPr>
          <w:highlight w:val="none"/>
        </w:rPr>
        <w:fldChar w:fldCharType="end"/>
      </w:r>
    </w:p>
    <w:p w14:paraId="4B1D2437">
      <w:pPr>
        <w:pStyle w:val="13"/>
        <w:tabs>
          <w:tab w:val="right" w:leader="dot" w:pos="8306"/>
        </w:tabs>
        <w:ind w:left="840"/>
        <w:rPr>
          <w:highlight w:val="none"/>
        </w:rPr>
      </w:pPr>
      <w:r>
        <w:rPr>
          <w:highlight w:val="none"/>
        </w:rPr>
        <w:fldChar w:fldCharType="begin"/>
      </w:r>
      <w:r>
        <w:rPr>
          <w:highlight w:val="none"/>
        </w:rPr>
        <w:instrText xml:space="preserve"> HYPERLINK \l "_Toc28604" </w:instrText>
      </w:r>
      <w:r>
        <w:rPr>
          <w:highlight w:val="none"/>
        </w:rPr>
        <w:fldChar w:fldCharType="separate"/>
      </w:r>
      <w:r>
        <w:rPr>
          <w:rFonts w:ascii="宋体" w:hAnsi="宋体"/>
          <w:highlight w:val="none"/>
        </w:rPr>
        <w:t>6.2评标原则</w:t>
      </w:r>
      <w:r>
        <w:rPr>
          <w:highlight w:val="none"/>
        </w:rPr>
        <w:tab/>
      </w:r>
      <w:r>
        <w:rPr>
          <w:highlight w:val="none"/>
        </w:rPr>
        <w:fldChar w:fldCharType="begin"/>
      </w:r>
      <w:r>
        <w:rPr>
          <w:highlight w:val="none"/>
        </w:rPr>
        <w:instrText xml:space="preserve"> PAGEREF _Toc28604 \h </w:instrText>
      </w:r>
      <w:r>
        <w:rPr>
          <w:highlight w:val="none"/>
        </w:rPr>
        <w:fldChar w:fldCharType="separate"/>
      </w:r>
      <w:r>
        <w:rPr>
          <w:highlight w:val="none"/>
        </w:rPr>
        <w:t>18</w:t>
      </w:r>
      <w:r>
        <w:rPr>
          <w:highlight w:val="none"/>
        </w:rPr>
        <w:fldChar w:fldCharType="end"/>
      </w:r>
      <w:r>
        <w:rPr>
          <w:highlight w:val="none"/>
        </w:rPr>
        <w:fldChar w:fldCharType="end"/>
      </w:r>
    </w:p>
    <w:p w14:paraId="4E795855">
      <w:pPr>
        <w:pStyle w:val="13"/>
        <w:tabs>
          <w:tab w:val="right" w:leader="dot" w:pos="8306"/>
        </w:tabs>
        <w:ind w:left="840"/>
        <w:rPr>
          <w:highlight w:val="none"/>
        </w:rPr>
      </w:pPr>
      <w:r>
        <w:rPr>
          <w:highlight w:val="none"/>
        </w:rPr>
        <w:fldChar w:fldCharType="begin"/>
      </w:r>
      <w:r>
        <w:rPr>
          <w:highlight w:val="none"/>
        </w:rPr>
        <w:instrText xml:space="preserve"> HYPERLINK \l "_Toc7821" </w:instrText>
      </w:r>
      <w:r>
        <w:rPr>
          <w:highlight w:val="none"/>
        </w:rPr>
        <w:fldChar w:fldCharType="separate"/>
      </w:r>
      <w:r>
        <w:rPr>
          <w:rFonts w:ascii="宋体" w:hAnsi="宋体"/>
          <w:highlight w:val="none"/>
        </w:rPr>
        <w:t>6.3评标</w:t>
      </w:r>
      <w:r>
        <w:rPr>
          <w:highlight w:val="none"/>
        </w:rPr>
        <w:tab/>
      </w:r>
      <w:r>
        <w:rPr>
          <w:highlight w:val="none"/>
        </w:rPr>
        <w:fldChar w:fldCharType="begin"/>
      </w:r>
      <w:r>
        <w:rPr>
          <w:highlight w:val="none"/>
        </w:rPr>
        <w:instrText xml:space="preserve"> PAGEREF _Toc7821 \h </w:instrText>
      </w:r>
      <w:r>
        <w:rPr>
          <w:highlight w:val="none"/>
        </w:rPr>
        <w:fldChar w:fldCharType="separate"/>
      </w:r>
      <w:r>
        <w:rPr>
          <w:highlight w:val="none"/>
        </w:rPr>
        <w:t>18</w:t>
      </w:r>
      <w:r>
        <w:rPr>
          <w:highlight w:val="none"/>
        </w:rPr>
        <w:fldChar w:fldCharType="end"/>
      </w:r>
      <w:r>
        <w:rPr>
          <w:highlight w:val="none"/>
        </w:rPr>
        <w:fldChar w:fldCharType="end"/>
      </w:r>
    </w:p>
    <w:p w14:paraId="1CC09073">
      <w:pPr>
        <w:pStyle w:val="23"/>
        <w:tabs>
          <w:tab w:val="right" w:leader="dot" w:pos="8306"/>
        </w:tabs>
        <w:ind w:left="420"/>
        <w:rPr>
          <w:highlight w:val="none"/>
        </w:rPr>
      </w:pPr>
      <w:r>
        <w:rPr>
          <w:highlight w:val="none"/>
        </w:rPr>
        <w:fldChar w:fldCharType="begin"/>
      </w:r>
      <w:r>
        <w:rPr>
          <w:highlight w:val="none"/>
        </w:rPr>
        <w:instrText xml:space="preserve"> HYPERLINK \l "_Toc3758" </w:instrText>
      </w:r>
      <w:r>
        <w:rPr>
          <w:highlight w:val="none"/>
        </w:rPr>
        <w:fldChar w:fldCharType="separate"/>
      </w:r>
      <w:r>
        <w:rPr>
          <w:highlight w:val="none"/>
        </w:rPr>
        <w:t>7.合同授予</w:t>
      </w:r>
      <w:r>
        <w:rPr>
          <w:highlight w:val="none"/>
        </w:rPr>
        <w:tab/>
      </w:r>
      <w:r>
        <w:rPr>
          <w:highlight w:val="none"/>
        </w:rPr>
        <w:fldChar w:fldCharType="begin"/>
      </w:r>
      <w:r>
        <w:rPr>
          <w:highlight w:val="none"/>
        </w:rPr>
        <w:instrText xml:space="preserve"> PAGEREF _Toc3758 \h </w:instrText>
      </w:r>
      <w:r>
        <w:rPr>
          <w:highlight w:val="none"/>
        </w:rPr>
        <w:fldChar w:fldCharType="separate"/>
      </w:r>
      <w:r>
        <w:rPr>
          <w:highlight w:val="none"/>
        </w:rPr>
        <w:t>18</w:t>
      </w:r>
      <w:r>
        <w:rPr>
          <w:highlight w:val="none"/>
        </w:rPr>
        <w:fldChar w:fldCharType="end"/>
      </w:r>
      <w:r>
        <w:rPr>
          <w:highlight w:val="none"/>
        </w:rPr>
        <w:fldChar w:fldCharType="end"/>
      </w:r>
    </w:p>
    <w:p w14:paraId="65DD885F">
      <w:pPr>
        <w:pStyle w:val="13"/>
        <w:tabs>
          <w:tab w:val="right" w:leader="dot" w:pos="8306"/>
        </w:tabs>
        <w:ind w:left="840"/>
        <w:rPr>
          <w:highlight w:val="none"/>
        </w:rPr>
      </w:pPr>
      <w:r>
        <w:rPr>
          <w:highlight w:val="none"/>
        </w:rPr>
        <w:fldChar w:fldCharType="begin"/>
      </w:r>
      <w:r>
        <w:rPr>
          <w:highlight w:val="none"/>
        </w:rPr>
        <w:instrText xml:space="preserve"> HYPERLINK \l "_Toc8315" </w:instrText>
      </w:r>
      <w:r>
        <w:rPr>
          <w:highlight w:val="none"/>
        </w:rPr>
        <w:fldChar w:fldCharType="separate"/>
      </w:r>
      <w:r>
        <w:rPr>
          <w:rFonts w:ascii="宋体" w:hAnsi="宋体"/>
          <w:highlight w:val="none"/>
        </w:rPr>
        <w:t>7.1中标候选人公示</w:t>
      </w:r>
      <w:r>
        <w:rPr>
          <w:highlight w:val="none"/>
        </w:rPr>
        <w:tab/>
      </w:r>
      <w:r>
        <w:rPr>
          <w:highlight w:val="none"/>
        </w:rPr>
        <w:fldChar w:fldCharType="begin"/>
      </w:r>
      <w:r>
        <w:rPr>
          <w:highlight w:val="none"/>
        </w:rPr>
        <w:instrText xml:space="preserve"> PAGEREF _Toc8315 \h </w:instrText>
      </w:r>
      <w:r>
        <w:rPr>
          <w:highlight w:val="none"/>
        </w:rPr>
        <w:fldChar w:fldCharType="separate"/>
      </w:r>
      <w:r>
        <w:rPr>
          <w:highlight w:val="none"/>
        </w:rPr>
        <w:t>18</w:t>
      </w:r>
      <w:r>
        <w:rPr>
          <w:highlight w:val="none"/>
        </w:rPr>
        <w:fldChar w:fldCharType="end"/>
      </w:r>
      <w:r>
        <w:rPr>
          <w:highlight w:val="none"/>
        </w:rPr>
        <w:fldChar w:fldCharType="end"/>
      </w:r>
    </w:p>
    <w:p w14:paraId="23261325">
      <w:pPr>
        <w:pStyle w:val="13"/>
        <w:tabs>
          <w:tab w:val="right" w:leader="dot" w:pos="8306"/>
        </w:tabs>
        <w:ind w:left="840"/>
        <w:rPr>
          <w:highlight w:val="none"/>
        </w:rPr>
      </w:pPr>
      <w:r>
        <w:rPr>
          <w:highlight w:val="none"/>
        </w:rPr>
        <w:fldChar w:fldCharType="begin"/>
      </w:r>
      <w:r>
        <w:rPr>
          <w:highlight w:val="none"/>
        </w:rPr>
        <w:instrText xml:space="preserve"> HYPERLINK \l "_Toc31925" </w:instrText>
      </w:r>
      <w:r>
        <w:rPr>
          <w:highlight w:val="none"/>
        </w:rPr>
        <w:fldChar w:fldCharType="separate"/>
      </w:r>
      <w:r>
        <w:rPr>
          <w:rFonts w:ascii="宋体" w:hAnsi="宋体"/>
          <w:highlight w:val="none"/>
        </w:rPr>
        <w:t>7.2评标结果异议</w:t>
      </w:r>
      <w:r>
        <w:rPr>
          <w:highlight w:val="none"/>
        </w:rPr>
        <w:tab/>
      </w:r>
      <w:r>
        <w:rPr>
          <w:highlight w:val="none"/>
        </w:rPr>
        <w:fldChar w:fldCharType="begin"/>
      </w:r>
      <w:r>
        <w:rPr>
          <w:highlight w:val="none"/>
        </w:rPr>
        <w:instrText xml:space="preserve"> PAGEREF _Toc31925 \h </w:instrText>
      </w:r>
      <w:r>
        <w:rPr>
          <w:highlight w:val="none"/>
        </w:rPr>
        <w:fldChar w:fldCharType="separate"/>
      </w:r>
      <w:r>
        <w:rPr>
          <w:highlight w:val="none"/>
        </w:rPr>
        <w:t>18</w:t>
      </w:r>
      <w:r>
        <w:rPr>
          <w:highlight w:val="none"/>
        </w:rPr>
        <w:fldChar w:fldCharType="end"/>
      </w:r>
      <w:r>
        <w:rPr>
          <w:highlight w:val="none"/>
        </w:rPr>
        <w:fldChar w:fldCharType="end"/>
      </w:r>
    </w:p>
    <w:p w14:paraId="3FE0BB32">
      <w:pPr>
        <w:pStyle w:val="13"/>
        <w:tabs>
          <w:tab w:val="right" w:leader="dot" w:pos="8306"/>
        </w:tabs>
        <w:ind w:left="840"/>
        <w:rPr>
          <w:highlight w:val="none"/>
        </w:rPr>
      </w:pPr>
      <w:r>
        <w:rPr>
          <w:highlight w:val="none"/>
        </w:rPr>
        <w:fldChar w:fldCharType="begin"/>
      </w:r>
      <w:r>
        <w:rPr>
          <w:highlight w:val="none"/>
        </w:rPr>
        <w:instrText xml:space="preserve"> HYPERLINK \l "_Toc19097" </w:instrText>
      </w:r>
      <w:r>
        <w:rPr>
          <w:highlight w:val="none"/>
        </w:rPr>
        <w:fldChar w:fldCharType="separate"/>
      </w:r>
      <w:r>
        <w:rPr>
          <w:rFonts w:ascii="宋体" w:hAnsi="宋体"/>
          <w:highlight w:val="none"/>
        </w:rPr>
        <w:t>7.3中标候选人履约能力审查</w:t>
      </w:r>
      <w:r>
        <w:rPr>
          <w:highlight w:val="none"/>
        </w:rPr>
        <w:tab/>
      </w:r>
      <w:r>
        <w:rPr>
          <w:highlight w:val="none"/>
        </w:rPr>
        <w:fldChar w:fldCharType="begin"/>
      </w:r>
      <w:r>
        <w:rPr>
          <w:highlight w:val="none"/>
        </w:rPr>
        <w:instrText xml:space="preserve"> PAGEREF _Toc19097 \h </w:instrText>
      </w:r>
      <w:r>
        <w:rPr>
          <w:highlight w:val="none"/>
        </w:rPr>
        <w:fldChar w:fldCharType="separate"/>
      </w:r>
      <w:r>
        <w:rPr>
          <w:highlight w:val="none"/>
        </w:rPr>
        <w:t>19</w:t>
      </w:r>
      <w:r>
        <w:rPr>
          <w:highlight w:val="none"/>
        </w:rPr>
        <w:fldChar w:fldCharType="end"/>
      </w:r>
      <w:r>
        <w:rPr>
          <w:highlight w:val="none"/>
        </w:rPr>
        <w:fldChar w:fldCharType="end"/>
      </w:r>
    </w:p>
    <w:p w14:paraId="370B22F5">
      <w:pPr>
        <w:pStyle w:val="13"/>
        <w:tabs>
          <w:tab w:val="right" w:leader="dot" w:pos="8306"/>
        </w:tabs>
        <w:ind w:left="840"/>
        <w:rPr>
          <w:highlight w:val="none"/>
        </w:rPr>
      </w:pPr>
      <w:r>
        <w:rPr>
          <w:highlight w:val="none"/>
        </w:rPr>
        <w:fldChar w:fldCharType="begin"/>
      </w:r>
      <w:r>
        <w:rPr>
          <w:highlight w:val="none"/>
        </w:rPr>
        <w:instrText xml:space="preserve"> HYPERLINK \l "_Toc13029" </w:instrText>
      </w:r>
      <w:r>
        <w:rPr>
          <w:highlight w:val="none"/>
        </w:rPr>
        <w:fldChar w:fldCharType="separate"/>
      </w:r>
      <w:r>
        <w:rPr>
          <w:rFonts w:ascii="宋体" w:hAnsi="宋体"/>
          <w:highlight w:val="none"/>
        </w:rPr>
        <w:t>7.4定标</w:t>
      </w:r>
      <w:r>
        <w:rPr>
          <w:highlight w:val="none"/>
        </w:rPr>
        <w:tab/>
      </w:r>
      <w:r>
        <w:rPr>
          <w:highlight w:val="none"/>
        </w:rPr>
        <w:fldChar w:fldCharType="begin"/>
      </w:r>
      <w:r>
        <w:rPr>
          <w:highlight w:val="none"/>
        </w:rPr>
        <w:instrText xml:space="preserve"> PAGEREF _Toc13029 \h </w:instrText>
      </w:r>
      <w:r>
        <w:rPr>
          <w:highlight w:val="none"/>
        </w:rPr>
        <w:fldChar w:fldCharType="separate"/>
      </w:r>
      <w:r>
        <w:rPr>
          <w:highlight w:val="none"/>
        </w:rPr>
        <w:t>19</w:t>
      </w:r>
      <w:r>
        <w:rPr>
          <w:highlight w:val="none"/>
        </w:rPr>
        <w:fldChar w:fldCharType="end"/>
      </w:r>
      <w:r>
        <w:rPr>
          <w:highlight w:val="none"/>
        </w:rPr>
        <w:fldChar w:fldCharType="end"/>
      </w:r>
    </w:p>
    <w:p w14:paraId="39404ACF">
      <w:pPr>
        <w:pStyle w:val="13"/>
        <w:tabs>
          <w:tab w:val="right" w:leader="dot" w:pos="8306"/>
        </w:tabs>
        <w:ind w:left="840"/>
        <w:rPr>
          <w:highlight w:val="none"/>
        </w:rPr>
      </w:pPr>
      <w:r>
        <w:rPr>
          <w:highlight w:val="none"/>
        </w:rPr>
        <w:fldChar w:fldCharType="begin"/>
      </w:r>
      <w:r>
        <w:rPr>
          <w:highlight w:val="none"/>
        </w:rPr>
        <w:instrText xml:space="preserve"> HYPERLINK \l "_Toc22279" </w:instrText>
      </w:r>
      <w:r>
        <w:rPr>
          <w:highlight w:val="none"/>
        </w:rPr>
        <w:fldChar w:fldCharType="separate"/>
      </w:r>
      <w:r>
        <w:rPr>
          <w:rFonts w:ascii="宋体" w:hAnsi="宋体"/>
          <w:highlight w:val="none"/>
        </w:rPr>
        <w:t>7.5中标通知</w:t>
      </w:r>
      <w:r>
        <w:rPr>
          <w:highlight w:val="none"/>
        </w:rPr>
        <w:tab/>
      </w:r>
      <w:r>
        <w:rPr>
          <w:highlight w:val="none"/>
        </w:rPr>
        <w:fldChar w:fldCharType="begin"/>
      </w:r>
      <w:r>
        <w:rPr>
          <w:highlight w:val="none"/>
        </w:rPr>
        <w:instrText xml:space="preserve"> PAGEREF _Toc22279 \h </w:instrText>
      </w:r>
      <w:r>
        <w:rPr>
          <w:highlight w:val="none"/>
        </w:rPr>
        <w:fldChar w:fldCharType="separate"/>
      </w:r>
      <w:r>
        <w:rPr>
          <w:highlight w:val="none"/>
        </w:rPr>
        <w:t>19</w:t>
      </w:r>
      <w:r>
        <w:rPr>
          <w:highlight w:val="none"/>
        </w:rPr>
        <w:fldChar w:fldCharType="end"/>
      </w:r>
      <w:r>
        <w:rPr>
          <w:highlight w:val="none"/>
        </w:rPr>
        <w:fldChar w:fldCharType="end"/>
      </w:r>
    </w:p>
    <w:p w14:paraId="33098AF2">
      <w:pPr>
        <w:pStyle w:val="13"/>
        <w:tabs>
          <w:tab w:val="right" w:leader="dot" w:pos="8306"/>
        </w:tabs>
        <w:ind w:left="840"/>
        <w:rPr>
          <w:highlight w:val="none"/>
        </w:rPr>
      </w:pPr>
      <w:r>
        <w:rPr>
          <w:highlight w:val="none"/>
        </w:rPr>
        <w:fldChar w:fldCharType="begin"/>
      </w:r>
      <w:r>
        <w:rPr>
          <w:highlight w:val="none"/>
        </w:rPr>
        <w:instrText xml:space="preserve"> HYPERLINK \l "_Toc6841" </w:instrText>
      </w:r>
      <w:r>
        <w:rPr>
          <w:highlight w:val="none"/>
        </w:rPr>
        <w:fldChar w:fldCharType="separate"/>
      </w:r>
      <w:r>
        <w:rPr>
          <w:rFonts w:ascii="宋体" w:hAnsi="宋体"/>
          <w:highlight w:val="none"/>
        </w:rPr>
        <w:t>7.6履约保证金</w:t>
      </w:r>
      <w:r>
        <w:rPr>
          <w:highlight w:val="none"/>
        </w:rPr>
        <w:tab/>
      </w:r>
      <w:r>
        <w:rPr>
          <w:highlight w:val="none"/>
        </w:rPr>
        <w:fldChar w:fldCharType="begin"/>
      </w:r>
      <w:r>
        <w:rPr>
          <w:highlight w:val="none"/>
        </w:rPr>
        <w:instrText xml:space="preserve"> PAGEREF _Toc6841 \h </w:instrText>
      </w:r>
      <w:r>
        <w:rPr>
          <w:highlight w:val="none"/>
        </w:rPr>
        <w:fldChar w:fldCharType="separate"/>
      </w:r>
      <w:r>
        <w:rPr>
          <w:highlight w:val="none"/>
        </w:rPr>
        <w:t>19</w:t>
      </w:r>
      <w:r>
        <w:rPr>
          <w:highlight w:val="none"/>
        </w:rPr>
        <w:fldChar w:fldCharType="end"/>
      </w:r>
      <w:r>
        <w:rPr>
          <w:highlight w:val="none"/>
        </w:rPr>
        <w:fldChar w:fldCharType="end"/>
      </w:r>
    </w:p>
    <w:p w14:paraId="62753ADE">
      <w:pPr>
        <w:pStyle w:val="13"/>
        <w:tabs>
          <w:tab w:val="right" w:leader="dot" w:pos="8306"/>
        </w:tabs>
        <w:ind w:left="840"/>
        <w:rPr>
          <w:highlight w:val="none"/>
        </w:rPr>
      </w:pPr>
      <w:r>
        <w:rPr>
          <w:highlight w:val="none"/>
        </w:rPr>
        <w:fldChar w:fldCharType="begin"/>
      </w:r>
      <w:r>
        <w:rPr>
          <w:highlight w:val="none"/>
        </w:rPr>
        <w:instrText xml:space="preserve"> HYPERLINK \l "_Toc10700" </w:instrText>
      </w:r>
      <w:r>
        <w:rPr>
          <w:highlight w:val="none"/>
        </w:rPr>
        <w:fldChar w:fldCharType="separate"/>
      </w:r>
      <w:r>
        <w:rPr>
          <w:rFonts w:ascii="宋体" w:hAnsi="宋体"/>
          <w:highlight w:val="none"/>
        </w:rPr>
        <w:t>7.7签订合同</w:t>
      </w:r>
      <w:r>
        <w:rPr>
          <w:highlight w:val="none"/>
        </w:rPr>
        <w:tab/>
      </w:r>
      <w:r>
        <w:rPr>
          <w:highlight w:val="none"/>
        </w:rPr>
        <w:fldChar w:fldCharType="begin"/>
      </w:r>
      <w:r>
        <w:rPr>
          <w:highlight w:val="none"/>
        </w:rPr>
        <w:instrText xml:space="preserve"> PAGEREF _Toc10700 \h </w:instrText>
      </w:r>
      <w:r>
        <w:rPr>
          <w:highlight w:val="none"/>
        </w:rPr>
        <w:fldChar w:fldCharType="separate"/>
      </w:r>
      <w:r>
        <w:rPr>
          <w:highlight w:val="none"/>
        </w:rPr>
        <w:t>19</w:t>
      </w:r>
      <w:r>
        <w:rPr>
          <w:highlight w:val="none"/>
        </w:rPr>
        <w:fldChar w:fldCharType="end"/>
      </w:r>
      <w:r>
        <w:rPr>
          <w:highlight w:val="none"/>
        </w:rPr>
        <w:fldChar w:fldCharType="end"/>
      </w:r>
    </w:p>
    <w:p w14:paraId="03B49340">
      <w:pPr>
        <w:pStyle w:val="23"/>
        <w:tabs>
          <w:tab w:val="right" w:leader="dot" w:pos="8306"/>
        </w:tabs>
        <w:ind w:left="420"/>
        <w:rPr>
          <w:highlight w:val="none"/>
        </w:rPr>
      </w:pPr>
      <w:r>
        <w:rPr>
          <w:highlight w:val="none"/>
        </w:rPr>
        <w:fldChar w:fldCharType="begin"/>
      </w:r>
      <w:r>
        <w:rPr>
          <w:highlight w:val="none"/>
        </w:rPr>
        <w:instrText xml:space="preserve"> HYPERLINK \l "_Toc28361" </w:instrText>
      </w:r>
      <w:r>
        <w:rPr>
          <w:highlight w:val="none"/>
        </w:rPr>
        <w:fldChar w:fldCharType="separate"/>
      </w:r>
      <w:r>
        <w:rPr>
          <w:highlight w:val="none"/>
        </w:rPr>
        <w:t>8.纪律和监督</w:t>
      </w:r>
      <w:r>
        <w:rPr>
          <w:highlight w:val="none"/>
        </w:rPr>
        <w:tab/>
      </w:r>
      <w:r>
        <w:rPr>
          <w:highlight w:val="none"/>
        </w:rPr>
        <w:fldChar w:fldCharType="begin"/>
      </w:r>
      <w:r>
        <w:rPr>
          <w:highlight w:val="none"/>
        </w:rPr>
        <w:instrText xml:space="preserve"> PAGEREF _Toc28361 \h </w:instrText>
      </w:r>
      <w:r>
        <w:rPr>
          <w:highlight w:val="none"/>
        </w:rPr>
        <w:fldChar w:fldCharType="separate"/>
      </w:r>
      <w:r>
        <w:rPr>
          <w:highlight w:val="none"/>
        </w:rPr>
        <w:t>19</w:t>
      </w:r>
      <w:r>
        <w:rPr>
          <w:highlight w:val="none"/>
        </w:rPr>
        <w:fldChar w:fldCharType="end"/>
      </w:r>
      <w:r>
        <w:rPr>
          <w:highlight w:val="none"/>
        </w:rPr>
        <w:fldChar w:fldCharType="end"/>
      </w:r>
    </w:p>
    <w:p w14:paraId="79879589">
      <w:pPr>
        <w:pStyle w:val="13"/>
        <w:tabs>
          <w:tab w:val="right" w:leader="dot" w:pos="8306"/>
        </w:tabs>
        <w:ind w:left="840"/>
        <w:rPr>
          <w:highlight w:val="none"/>
        </w:rPr>
      </w:pPr>
      <w:r>
        <w:rPr>
          <w:highlight w:val="none"/>
        </w:rPr>
        <w:fldChar w:fldCharType="begin"/>
      </w:r>
      <w:r>
        <w:rPr>
          <w:highlight w:val="none"/>
        </w:rPr>
        <w:instrText xml:space="preserve"> HYPERLINK \l "_Toc1822" </w:instrText>
      </w:r>
      <w:r>
        <w:rPr>
          <w:highlight w:val="none"/>
        </w:rPr>
        <w:fldChar w:fldCharType="separate"/>
      </w:r>
      <w:r>
        <w:rPr>
          <w:rFonts w:ascii="宋体" w:hAnsi="宋体"/>
          <w:highlight w:val="none"/>
        </w:rPr>
        <w:t>8.1对招标人的纪律要求</w:t>
      </w:r>
      <w:r>
        <w:rPr>
          <w:highlight w:val="none"/>
        </w:rPr>
        <w:tab/>
      </w:r>
      <w:r>
        <w:rPr>
          <w:highlight w:val="none"/>
        </w:rPr>
        <w:fldChar w:fldCharType="begin"/>
      </w:r>
      <w:r>
        <w:rPr>
          <w:highlight w:val="none"/>
        </w:rPr>
        <w:instrText xml:space="preserve"> PAGEREF _Toc1822 \h </w:instrText>
      </w:r>
      <w:r>
        <w:rPr>
          <w:highlight w:val="none"/>
        </w:rPr>
        <w:fldChar w:fldCharType="separate"/>
      </w:r>
      <w:r>
        <w:rPr>
          <w:highlight w:val="none"/>
        </w:rPr>
        <w:t>19</w:t>
      </w:r>
      <w:r>
        <w:rPr>
          <w:highlight w:val="none"/>
        </w:rPr>
        <w:fldChar w:fldCharType="end"/>
      </w:r>
      <w:r>
        <w:rPr>
          <w:highlight w:val="none"/>
        </w:rPr>
        <w:fldChar w:fldCharType="end"/>
      </w:r>
    </w:p>
    <w:p w14:paraId="4A7B7993">
      <w:pPr>
        <w:pStyle w:val="13"/>
        <w:tabs>
          <w:tab w:val="right" w:leader="dot" w:pos="8306"/>
        </w:tabs>
        <w:ind w:left="840"/>
        <w:rPr>
          <w:highlight w:val="none"/>
        </w:rPr>
      </w:pPr>
      <w:r>
        <w:rPr>
          <w:highlight w:val="none"/>
        </w:rPr>
        <w:fldChar w:fldCharType="begin"/>
      </w:r>
      <w:r>
        <w:rPr>
          <w:highlight w:val="none"/>
        </w:rPr>
        <w:instrText xml:space="preserve"> HYPERLINK \l "_Toc3692" </w:instrText>
      </w:r>
      <w:r>
        <w:rPr>
          <w:highlight w:val="none"/>
        </w:rPr>
        <w:fldChar w:fldCharType="separate"/>
      </w:r>
      <w:r>
        <w:rPr>
          <w:rFonts w:ascii="宋体" w:hAnsi="宋体"/>
          <w:highlight w:val="none"/>
        </w:rPr>
        <w:t>8.2对投标人的纪律要求</w:t>
      </w:r>
      <w:r>
        <w:rPr>
          <w:highlight w:val="none"/>
        </w:rPr>
        <w:tab/>
      </w:r>
      <w:r>
        <w:rPr>
          <w:highlight w:val="none"/>
        </w:rPr>
        <w:fldChar w:fldCharType="begin"/>
      </w:r>
      <w:r>
        <w:rPr>
          <w:highlight w:val="none"/>
        </w:rPr>
        <w:instrText xml:space="preserve"> PAGEREF _Toc3692 \h </w:instrText>
      </w:r>
      <w:r>
        <w:rPr>
          <w:highlight w:val="none"/>
        </w:rPr>
        <w:fldChar w:fldCharType="separate"/>
      </w:r>
      <w:r>
        <w:rPr>
          <w:highlight w:val="none"/>
        </w:rPr>
        <w:t>20</w:t>
      </w:r>
      <w:r>
        <w:rPr>
          <w:highlight w:val="none"/>
        </w:rPr>
        <w:fldChar w:fldCharType="end"/>
      </w:r>
      <w:r>
        <w:rPr>
          <w:highlight w:val="none"/>
        </w:rPr>
        <w:fldChar w:fldCharType="end"/>
      </w:r>
    </w:p>
    <w:p w14:paraId="4BA76ABF">
      <w:pPr>
        <w:pStyle w:val="13"/>
        <w:tabs>
          <w:tab w:val="right" w:leader="dot" w:pos="8306"/>
        </w:tabs>
        <w:ind w:left="840"/>
        <w:rPr>
          <w:highlight w:val="none"/>
        </w:rPr>
      </w:pPr>
      <w:r>
        <w:rPr>
          <w:highlight w:val="none"/>
        </w:rPr>
        <w:fldChar w:fldCharType="begin"/>
      </w:r>
      <w:r>
        <w:rPr>
          <w:highlight w:val="none"/>
        </w:rPr>
        <w:instrText xml:space="preserve"> HYPERLINK \l "_Toc13582" </w:instrText>
      </w:r>
      <w:r>
        <w:rPr>
          <w:highlight w:val="none"/>
        </w:rPr>
        <w:fldChar w:fldCharType="separate"/>
      </w:r>
      <w:r>
        <w:rPr>
          <w:rFonts w:ascii="宋体" w:hAnsi="宋体"/>
          <w:highlight w:val="none"/>
        </w:rPr>
        <w:t>8.3对评标委员会成员的纪律要求</w:t>
      </w:r>
      <w:r>
        <w:rPr>
          <w:highlight w:val="none"/>
        </w:rPr>
        <w:tab/>
      </w:r>
      <w:r>
        <w:rPr>
          <w:highlight w:val="none"/>
        </w:rPr>
        <w:fldChar w:fldCharType="begin"/>
      </w:r>
      <w:r>
        <w:rPr>
          <w:highlight w:val="none"/>
        </w:rPr>
        <w:instrText xml:space="preserve"> PAGEREF _Toc13582 \h </w:instrText>
      </w:r>
      <w:r>
        <w:rPr>
          <w:highlight w:val="none"/>
        </w:rPr>
        <w:fldChar w:fldCharType="separate"/>
      </w:r>
      <w:r>
        <w:rPr>
          <w:highlight w:val="none"/>
        </w:rPr>
        <w:t>20</w:t>
      </w:r>
      <w:r>
        <w:rPr>
          <w:highlight w:val="none"/>
        </w:rPr>
        <w:fldChar w:fldCharType="end"/>
      </w:r>
      <w:r>
        <w:rPr>
          <w:highlight w:val="none"/>
        </w:rPr>
        <w:fldChar w:fldCharType="end"/>
      </w:r>
    </w:p>
    <w:p w14:paraId="58D1EADF">
      <w:pPr>
        <w:pStyle w:val="13"/>
        <w:tabs>
          <w:tab w:val="right" w:leader="dot" w:pos="8306"/>
        </w:tabs>
        <w:ind w:left="840"/>
        <w:rPr>
          <w:highlight w:val="none"/>
        </w:rPr>
      </w:pPr>
      <w:r>
        <w:rPr>
          <w:highlight w:val="none"/>
        </w:rPr>
        <w:fldChar w:fldCharType="begin"/>
      </w:r>
      <w:r>
        <w:rPr>
          <w:highlight w:val="none"/>
        </w:rPr>
        <w:instrText xml:space="preserve"> HYPERLINK \l "_Toc17209" </w:instrText>
      </w:r>
      <w:r>
        <w:rPr>
          <w:highlight w:val="none"/>
        </w:rPr>
        <w:fldChar w:fldCharType="separate"/>
      </w:r>
      <w:r>
        <w:rPr>
          <w:rFonts w:ascii="宋体" w:hAnsi="宋体"/>
          <w:highlight w:val="none"/>
        </w:rPr>
        <w:t>8.4对与评标活动有关的工作人员的纪律要求</w:t>
      </w:r>
      <w:r>
        <w:rPr>
          <w:highlight w:val="none"/>
        </w:rPr>
        <w:tab/>
      </w:r>
      <w:r>
        <w:rPr>
          <w:highlight w:val="none"/>
        </w:rPr>
        <w:fldChar w:fldCharType="begin"/>
      </w:r>
      <w:r>
        <w:rPr>
          <w:highlight w:val="none"/>
        </w:rPr>
        <w:instrText xml:space="preserve"> PAGEREF _Toc17209 \h </w:instrText>
      </w:r>
      <w:r>
        <w:rPr>
          <w:highlight w:val="none"/>
        </w:rPr>
        <w:fldChar w:fldCharType="separate"/>
      </w:r>
      <w:r>
        <w:rPr>
          <w:highlight w:val="none"/>
        </w:rPr>
        <w:t>20</w:t>
      </w:r>
      <w:r>
        <w:rPr>
          <w:highlight w:val="none"/>
        </w:rPr>
        <w:fldChar w:fldCharType="end"/>
      </w:r>
      <w:r>
        <w:rPr>
          <w:highlight w:val="none"/>
        </w:rPr>
        <w:fldChar w:fldCharType="end"/>
      </w:r>
    </w:p>
    <w:p w14:paraId="7AAF73B6">
      <w:pPr>
        <w:pStyle w:val="13"/>
        <w:tabs>
          <w:tab w:val="right" w:leader="dot" w:pos="8306"/>
        </w:tabs>
        <w:ind w:left="840"/>
        <w:rPr>
          <w:highlight w:val="none"/>
        </w:rPr>
      </w:pPr>
      <w:r>
        <w:rPr>
          <w:highlight w:val="none"/>
        </w:rPr>
        <w:fldChar w:fldCharType="begin"/>
      </w:r>
      <w:r>
        <w:rPr>
          <w:highlight w:val="none"/>
        </w:rPr>
        <w:instrText xml:space="preserve"> HYPERLINK \l "_Toc11122" </w:instrText>
      </w:r>
      <w:r>
        <w:rPr>
          <w:highlight w:val="none"/>
        </w:rPr>
        <w:fldChar w:fldCharType="separate"/>
      </w:r>
      <w:r>
        <w:rPr>
          <w:rFonts w:ascii="宋体" w:hAnsi="宋体"/>
          <w:highlight w:val="none"/>
        </w:rPr>
        <w:t>8.5投诉</w:t>
      </w:r>
      <w:r>
        <w:rPr>
          <w:highlight w:val="none"/>
        </w:rPr>
        <w:tab/>
      </w:r>
      <w:r>
        <w:rPr>
          <w:highlight w:val="none"/>
        </w:rPr>
        <w:fldChar w:fldCharType="begin"/>
      </w:r>
      <w:r>
        <w:rPr>
          <w:highlight w:val="none"/>
        </w:rPr>
        <w:instrText xml:space="preserve"> PAGEREF _Toc11122 \h </w:instrText>
      </w:r>
      <w:r>
        <w:rPr>
          <w:highlight w:val="none"/>
        </w:rPr>
        <w:fldChar w:fldCharType="separate"/>
      </w:r>
      <w:r>
        <w:rPr>
          <w:highlight w:val="none"/>
        </w:rPr>
        <w:t>20</w:t>
      </w:r>
      <w:r>
        <w:rPr>
          <w:highlight w:val="none"/>
        </w:rPr>
        <w:fldChar w:fldCharType="end"/>
      </w:r>
      <w:r>
        <w:rPr>
          <w:highlight w:val="none"/>
        </w:rPr>
        <w:fldChar w:fldCharType="end"/>
      </w:r>
    </w:p>
    <w:p w14:paraId="642A8F84">
      <w:pPr>
        <w:pStyle w:val="23"/>
        <w:tabs>
          <w:tab w:val="right" w:leader="dot" w:pos="8306"/>
        </w:tabs>
        <w:ind w:left="420"/>
        <w:rPr>
          <w:highlight w:val="none"/>
        </w:rPr>
      </w:pPr>
      <w:r>
        <w:rPr>
          <w:highlight w:val="none"/>
        </w:rPr>
        <w:fldChar w:fldCharType="begin"/>
      </w:r>
      <w:r>
        <w:rPr>
          <w:highlight w:val="none"/>
        </w:rPr>
        <w:instrText xml:space="preserve"> HYPERLINK \l "_Toc12229" </w:instrText>
      </w:r>
      <w:r>
        <w:rPr>
          <w:highlight w:val="none"/>
        </w:rPr>
        <w:fldChar w:fldCharType="separate"/>
      </w:r>
      <w:r>
        <w:rPr>
          <w:highlight w:val="none"/>
        </w:rPr>
        <w:t xml:space="preserve">9. </w:t>
      </w:r>
      <w:r>
        <w:rPr>
          <w:rFonts w:hint="eastAsia"/>
          <w:highlight w:val="none"/>
        </w:rPr>
        <w:t>是否采用电子招标投标</w:t>
      </w:r>
      <w:r>
        <w:rPr>
          <w:highlight w:val="none"/>
        </w:rPr>
        <w:tab/>
      </w:r>
      <w:r>
        <w:rPr>
          <w:highlight w:val="none"/>
        </w:rPr>
        <w:fldChar w:fldCharType="begin"/>
      </w:r>
      <w:r>
        <w:rPr>
          <w:highlight w:val="none"/>
        </w:rPr>
        <w:instrText xml:space="preserve"> PAGEREF _Toc12229 \h </w:instrText>
      </w:r>
      <w:r>
        <w:rPr>
          <w:highlight w:val="none"/>
        </w:rPr>
        <w:fldChar w:fldCharType="separate"/>
      </w:r>
      <w:r>
        <w:rPr>
          <w:highlight w:val="none"/>
        </w:rPr>
        <w:t>20</w:t>
      </w:r>
      <w:r>
        <w:rPr>
          <w:highlight w:val="none"/>
        </w:rPr>
        <w:fldChar w:fldCharType="end"/>
      </w:r>
      <w:r>
        <w:rPr>
          <w:highlight w:val="none"/>
        </w:rPr>
        <w:fldChar w:fldCharType="end"/>
      </w:r>
    </w:p>
    <w:p w14:paraId="7B951383">
      <w:pPr>
        <w:pStyle w:val="23"/>
        <w:tabs>
          <w:tab w:val="right" w:leader="dot" w:pos="8306"/>
        </w:tabs>
        <w:ind w:left="420"/>
        <w:rPr>
          <w:highlight w:val="none"/>
        </w:rPr>
      </w:pPr>
      <w:r>
        <w:rPr>
          <w:highlight w:val="none"/>
        </w:rPr>
        <w:fldChar w:fldCharType="begin"/>
      </w:r>
      <w:r>
        <w:rPr>
          <w:highlight w:val="none"/>
        </w:rPr>
        <w:instrText xml:space="preserve"> HYPERLINK \l "_Toc19526" </w:instrText>
      </w:r>
      <w:r>
        <w:rPr>
          <w:highlight w:val="none"/>
        </w:rPr>
        <w:fldChar w:fldCharType="separate"/>
      </w:r>
      <w:r>
        <w:rPr>
          <w:highlight w:val="none"/>
        </w:rPr>
        <w:t xml:space="preserve">10. </w:t>
      </w:r>
      <w:r>
        <w:rPr>
          <w:rFonts w:hint="eastAsia"/>
          <w:highlight w:val="none"/>
        </w:rPr>
        <w:t>需要补充的其他内容</w:t>
      </w:r>
      <w:r>
        <w:rPr>
          <w:highlight w:val="none"/>
        </w:rPr>
        <w:tab/>
      </w:r>
      <w:r>
        <w:rPr>
          <w:highlight w:val="none"/>
        </w:rPr>
        <w:fldChar w:fldCharType="begin"/>
      </w:r>
      <w:r>
        <w:rPr>
          <w:highlight w:val="none"/>
        </w:rPr>
        <w:instrText xml:space="preserve"> PAGEREF _Toc19526 \h </w:instrText>
      </w:r>
      <w:r>
        <w:rPr>
          <w:highlight w:val="none"/>
        </w:rPr>
        <w:fldChar w:fldCharType="separate"/>
      </w:r>
      <w:r>
        <w:rPr>
          <w:highlight w:val="none"/>
        </w:rPr>
        <w:t>20</w:t>
      </w:r>
      <w:r>
        <w:rPr>
          <w:highlight w:val="none"/>
        </w:rPr>
        <w:fldChar w:fldCharType="end"/>
      </w:r>
      <w:r>
        <w:rPr>
          <w:highlight w:val="none"/>
        </w:rPr>
        <w:fldChar w:fldCharType="end"/>
      </w:r>
    </w:p>
    <w:p w14:paraId="2D720707">
      <w:pPr>
        <w:pStyle w:val="23"/>
        <w:tabs>
          <w:tab w:val="right" w:leader="dot" w:pos="8306"/>
        </w:tabs>
        <w:ind w:left="420"/>
        <w:rPr>
          <w:highlight w:val="none"/>
        </w:rPr>
      </w:pPr>
      <w:r>
        <w:rPr>
          <w:highlight w:val="none"/>
        </w:rPr>
        <w:fldChar w:fldCharType="begin"/>
      </w:r>
      <w:r>
        <w:rPr>
          <w:highlight w:val="none"/>
        </w:rPr>
        <w:instrText xml:space="preserve"> HYPERLINK \l "_Toc6411" </w:instrText>
      </w:r>
      <w:r>
        <w:rPr>
          <w:highlight w:val="none"/>
        </w:rPr>
        <w:fldChar w:fldCharType="separate"/>
      </w:r>
      <w:r>
        <w:rPr>
          <w:rFonts w:hint="eastAsia"/>
          <w:highlight w:val="none"/>
        </w:rPr>
        <w:t>附件一：开标记录表</w:t>
      </w:r>
      <w:r>
        <w:rPr>
          <w:highlight w:val="none"/>
        </w:rPr>
        <w:tab/>
      </w:r>
      <w:r>
        <w:rPr>
          <w:highlight w:val="none"/>
        </w:rPr>
        <w:fldChar w:fldCharType="begin"/>
      </w:r>
      <w:r>
        <w:rPr>
          <w:highlight w:val="none"/>
        </w:rPr>
        <w:instrText xml:space="preserve"> PAGEREF _Toc6411 \h </w:instrText>
      </w:r>
      <w:r>
        <w:rPr>
          <w:highlight w:val="none"/>
        </w:rPr>
        <w:fldChar w:fldCharType="separate"/>
      </w:r>
      <w:r>
        <w:rPr>
          <w:highlight w:val="none"/>
        </w:rPr>
        <w:t>21</w:t>
      </w:r>
      <w:r>
        <w:rPr>
          <w:highlight w:val="none"/>
        </w:rPr>
        <w:fldChar w:fldCharType="end"/>
      </w:r>
      <w:r>
        <w:rPr>
          <w:highlight w:val="none"/>
        </w:rPr>
        <w:fldChar w:fldCharType="end"/>
      </w:r>
    </w:p>
    <w:p w14:paraId="0DF681DB">
      <w:pPr>
        <w:pStyle w:val="23"/>
        <w:tabs>
          <w:tab w:val="right" w:leader="dot" w:pos="8306"/>
        </w:tabs>
        <w:ind w:left="420"/>
        <w:rPr>
          <w:highlight w:val="none"/>
        </w:rPr>
      </w:pPr>
      <w:r>
        <w:rPr>
          <w:highlight w:val="none"/>
        </w:rPr>
        <w:fldChar w:fldCharType="begin"/>
      </w:r>
      <w:r>
        <w:rPr>
          <w:highlight w:val="none"/>
        </w:rPr>
        <w:instrText xml:space="preserve"> HYPERLINK \l "_Toc12243" </w:instrText>
      </w:r>
      <w:r>
        <w:rPr>
          <w:highlight w:val="none"/>
        </w:rPr>
        <w:fldChar w:fldCharType="separate"/>
      </w:r>
      <w:r>
        <w:rPr>
          <w:rFonts w:hint="eastAsia"/>
          <w:highlight w:val="none"/>
        </w:rPr>
        <w:t>附件二：问题澄清通知</w:t>
      </w:r>
      <w:r>
        <w:rPr>
          <w:highlight w:val="none"/>
        </w:rPr>
        <w:tab/>
      </w:r>
      <w:r>
        <w:rPr>
          <w:highlight w:val="none"/>
        </w:rPr>
        <w:fldChar w:fldCharType="begin"/>
      </w:r>
      <w:r>
        <w:rPr>
          <w:highlight w:val="none"/>
        </w:rPr>
        <w:instrText xml:space="preserve"> PAGEREF _Toc12243 \h </w:instrText>
      </w:r>
      <w:r>
        <w:rPr>
          <w:highlight w:val="none"/>
        </w:rPr>
        <w:fldChar w:fldCharType="separate"/>
      </w:r>
      <w:r>
        <w:rPr>
          <w:highlight w:val="none"/>
        </w:rPr>
        <w:t>22</w:t>
      </w:r>
      <w:r>
        <w:rPr>
          <w:highlight w:val="none"/>
        </w:rPr>
        <w:fldChar w:fldCharType="end"/>
      </w:r>
      <w:r>
        <w:rPr>
          <w:highlight w:val="none"/>
        </w:rPr>
        <w:fldChar w:fldCharType="end"/>
      </w:r>
    </w:p>
    <w:p w14:paraId="0CE9C522">
      <w:pPr>
        <w:pStyle w:val="23"/>
        <w:tabs>
          <w:tab w:val="right" w:leader="dot" w:pos="8306"/>
        </w:tabs>
        <w:ind w:left="420"/>
        <w:rPr>
          <w:highlight w:val="none"/>
        </w:rPr>
      </w:pPr>
      <w:r>
        <w:rPr>
          <w:highlight w:val="none"/>
        </w:rPr>
        <w:fldChar w:fldCharType="begin"/>
      </w:r>
      <w:r>
        <w:rPr>
          <w:highlight w:val="none"/>
        </w:rPr>
        <w:instrText xml:space="preserve"> HYPERLINK \l "_Toc2148" </w:instrText>
      </w:r>
      <w:r>
        <w:rPr>
          <w:highlight w:val="none"/>
        </w:rPr>
        <w:fldChar w:fldCharType="separate"/>
      </w:r>
      <w:r>
        <w:rPr>
          <w:rFonts w:hint="eastAsia"/>
          <w:highlight w:val="none"/>
        </w:rPr>
        <w:t>附件三：</w:t>
      </w:r>
      <w:r>
        <w:rPr>
          <w:rFonts w:hint="eastAsia"/>
          <w:szCs w:val="28"/>
          <w:highlight w:val="none"/>
        </w:rPr>
        <w:t>问题的澄清</w:t>
      </w:r>
      <w:r>
        <w:rPr>
          <w:highlight w:val="none"/>
        </w:rPr>
        <w:tab/>
      </w:r>
      <w:r>
        <w:rPr>
          <w:highlight w:val="none"/>
        </w:rPr>
        <w:fldChar w:fldCharType="begin"/>
      </w:r>
      <w:r>
        <w:rPr>
          <w:highlight w:val="none"/>
        </w:rPr>
        <w:instrText xml:space="preserve"> PAGEREF _Toc2148 \h </w:instrText>
      </w:r>
      <w:r>
        <w:rPr>
          <w:highlight w:val="none"/>
        </w:rPr>
        <w:fldChar w:fldCharType="separate"/>
      </w:r>
      <w:r>
        <w:rPr>
          <w:highlight w:val="none"/>
        </w:rPr>
        <w:t>23</w:t>
      </w:r>
      <w:r>
        <w:rPr>
          <w:highlight w:val="none"/>
        </w:rPr>
        <w:fldChar w:fldCharType="end"/>
      </w:r>
      <w:r>
        <w:rPr>
          <w:highlight w:val="none"/>
        </w:rPr>
        <w:fldChar w:fldCharType="end"/>
      </w:r>
    </w:p>
    <w:p w14:paraId="714931DF">
      <w:pPr>
        <w:pStyle w:val="23"/>
        <w:tabs>
          <w:tab w:val="right" w:leader="dot" w:pos="8306"/>
        </w:tabs>
        <w:ind w:left="420"/>
        <w:rPr>
          <w:highlight w:val="none"/>
        </w:rPr>
      </w:pPr>
      <w:r>
        <w:rPr>
          <w:highlight w:val="none"/>
        </w:rPr>
        <w:fldChar w:fldCharType="begin"/>
      </w:r>
      <w:r>
        <w:rPr>
          <w:highlight w:val="none"/>
        </w:rPr>
        <w:instrText xml:space="preserve"> HYPERLINK \l "_Toc11108" </w:instrText>
      </w:r>
      <w:r>
        <w:rPr>
          <w:highlight w:val="none"/>
        </w:rPr>
        <w:fldChar w:fldCharType="separate"/>
      </w:r>
      <w:r>
        <w:rPr>
          <w:rFonts w:hint="eastAsia"/>
          <w:highlight w:val="none"/>
        </w:rPr>
        <w:t>附件四：中标通知书</w:t>
      </w:r>
      <w:r>
        <w:rPr>
          <w:highlight w:val="none"/>
        </w:rPr>
        <w:tab/>
      </w:r>
      <w:r>
        <w:rPr>
          <w:highlight w:val="none"/>
        </w:rPr>
        <w:fldChar w:fldCharType="begin"/>
      </w:r>
      <w:r>
        <w:rPr>
          <w:highlight w:val="none"/>
        </w:rPr>
        <w:instrText xml:space="preserve"> PAGEREF _Toc11108 \h </w:instrText>
      </w:r>
      <w:r>
        <w:rPr>
          <w:highlight w:val="none"/>
        </w:rPr>
        <w:fldChar w:fldCharType="separate"/>
      </w:r>
      <w:r>
        <w:rPr>
          <w:highlight w:val="none"/>
        </w:rPr>
        <w:t>24</w:t>
      </w:r>
      <w:r>
        <w:rPr>
          <w:highlight w:val="none"/>
        </w:rPr>
        <w:fldChar w:fldCharType="end"/>
      </w:r>
      <w:r>
        <w:rPr>
          <w:highlight w:val="none"/>
        </w:rPr>
        <w:fldChar w:fldCharType="end"/>
      </w:r>
    </w:p>
    <w:p w14:paraId="68E4B3BE">
      <w:pPr>
        <w:pStyle w:val="20"/>
        <w:tabs>
          <w:tab w:val="right" w:leader="dot" w:pos="8306"/>
        </w:tabs>
        <w:rPr>
          <w:highlight w:val="none"/>
        </w:rPr>
      </w:pPr>
      <w:r>
        <w:rPr>
          <w:highlight w:val="none"/>
        </w:rPr>
        <w:fldChar w:fldCharType="begin"/>
      </w:r>
      <w:r>
        <w:rPr>
          <w:highlight w:val="none"/>
        </w:rPr>
        <w:instrText xml:space="preserve"> HYPERLINK \l "_Toc29181" </w:instrText>
      </w:r>
      <w:r>
        <w:rPr>
          <w:highlight w:val="none"/>
        </w:rPr>
        <w:fldChar w:fldCharType="separate"/>
      </w:r>
      <w:r>
        <w:rPr>
          <w:rFonts w:hint="eastAsia"/>
          <w:highlight w:val="none"/>
        </w:rPr>
        <w:t>第三章</w:t>
      </w:r>
      <w:r>
        <w:rPr>
          <w:highlight w:val="none"/>
        </w:rPr>
        <w:t xml:space="preserve"> </w:t>
      </w:r>
      <w:r>
        <w:rPr>
          <w:rFonts w:hint="eastAsia"/>
          <w:highlight w:val="none"/>
        </w:rPr>
        <w:t>评标办法（综合评估法）</w:t>
      </w:r>
      <w:r>
        <w:rPr>
          <w:highlight w:val="none"/>
        </w:rPr>
        <w:tab/>
      </w:r>
      <w:r>
        <w:rPr>
          <w:highlight w:val="none"/>
        </w:rPr>
        <w:fldChar w:fldCharType="begin"/>
      </w:r>
      <w:r>
        <w:rPr>
          <w:highlight w:val="none"/>
        </w:rPr>
        <w:instrText xml:space="preserve"> PAGEREF _Toc29181 \h </w:instrText>
      </w:r>
      <w:r>
        <w:rPr>
          <w:highlight w:val="none"/>
        </w:rPr>
        <w:fldChar w:fldCharType="separate"/>
      </w:r>
      <w:r>
        <w:rPr>
          <w:highlight w:val="none"/>
        </w:rPr>
        <w:t>25</w:t>
      </w:r>
      <w:r>
        <w:rPr>
          <w:highlight w:val="none"/>
        </w:rPr>
        <w:fldChar w:fldCharType="end"/>
      </w:r>
      <w:r>
        <w:rPr>
          <w:highlight w:val="none"/>
        </w:rPr>
        <w:fldChar w:fldCharType="end"/>
      </w:r>
    </w:p>
    <w:p w14:paraId="06DC0F4D">
      <w:pPr>
        <w:pStyle w:val="23"/>
        <w:tabs>
          <w:tab w:val="right" w:leader="dot" w:pos="8306"/>
        </w:tabs>
        <w:ind w:left="420"/>
        <w:rPr>
          <w:highlight w:val="none"/>
        </w:rPr>
      </w:pPr>
      <w:r>
        <w:rPr>
          <w:highlight w:val="none"/>
        </w:rPr>
        <w:fldChar w:fldCharType="begin"/>
      </w:r>
      <w:r>
        <w:rPr>
          <w:highlight w:val="none"/>
        </w:rPr>
        <w:instrText xml:space="preserve"> HYPERLINK \l "_Toc11858" </w:instrText>
      </w:r>
      <w:r>
        <w:rPr>
          <w:highlight w:val="none"/>
        </w:rPr>
        <w:fldChar w:fldCharType="separate"/>
      </w:r>
      <w:r>
        <w:rPr>
          <w:rFonts w:hint="eastAsia"/>
          <w:highlight w:val="none"/>
        </w:rPr>
        <w:t>评标办法前附表</w:t>
      </w:r>
      <w:r>
        <w:rPr>
          <w:highlight w:val="none"/>
        </w:rPr>
        <w:tab/>
      </w:r>
      <w:r>
        <w:rPr>
          <w:highlight w:val="none"/>
        </w:rPr>
        <w:fldChar w:fldCharType="begin"/>
      </w:r>
      <w:r>
        <w:rPr>
          <w:highlight w:val="none"/>
        </w:rPr>
        <w:instrText xml:space="preserve"> PAGEREF _Toc11858 \h </w:instrText>
      </w:r>
      <w:r>
        <w:rPr>
          <w:highlight w:val="none"/>
        </w:rPr>
        <w:fldChar w:fldCharType="separate"/>
      </w:r>
      <w:r>
        <w:rPr>
          <w:highlight w:val="none"/>
        </w:rPr>
        <w:t>25</w:t>
      </w:r>
      <w:r>
        <w:rPr>
          <w:highlight w:val="none"/>
        </w:rPr>
        <w:fldChar w:fldCharType="end"/>
      </w:r>
      <w:r>
        <w:rPr>
          <w:highlight w:val="none"/>
        </w:rPr>
        <w:fldChar w:fldCharType="end"/>
      </w:r>
    </w:p>
    <w:p w14:paraId="02391D76">
      <w:pPr>
        <w:pStyle w:val="23"/>
        <w:tabs>
          <w:tab w:val="right" w:leader="dot" w:pos="8306"/>
        </w:tabs>
        <w:ind w:left="420"/>
        <w:rPr>
          <w:highlight w:val="none"/>
        </w:rPr>
      </w:pPr>
      <w:r>
        <w:rPr>
          <w:highlight w:val="none"/>
        </w:rPr>
        <w:fldChar w:fldCharType="begin"/>
      </w:r>
      <w:r>
        <w:rPr>
          <w:highlight w:val="none"/>
        </w:rPr>
        <w:instrText xml:space="preserve"> HYPERLINK \l "_Toc11301" </w:instrText>
      </w:r>
      <w:r>
        <w:rPr>
          <w:highlight w:val="none"/>
        </w:rPr>
        <w:fldChar w:fldCharType="separate"/>
      </w:r>
      <w:r>
        <w:rPr>
          <w:highlight w:val="none"/>
        </w:rPr>
        <w:t xml:space="preserve">1. </w:t>
      </w:r>
      <w:r>
        <w:rPr>
          <w:rFonts w:hint="eastAsia"/>
          <w:highlight w:val="none"/>
        </w:rPr>
        <w:t>评标方法</w:t>
      </w:r>
      <w:r>
        <w:rPr>
          <w:highlight w:val="none"/>
        </w:rPr>
        <w:tab/>
      </w:r>
      <w:r>
        <w:rPr>
          <w:highlight w:val="none"/>
        </w:rPr>
        <w:fldChar w:fldCharType="begin"/>
      </w:r>
      <w:r>
        <w:rPr>
          <w:highlight w:val="none"/>
        </w:rPr>
        <w:instrText xml:space="preserve"> PAGEREF _Toc11301 \h </w:instrText>
      </w:r>
      <w:r>
        <w:rPr>
          <w:highlight w:val="none"/>
        </w:rPr>
        <w:fldChar w:fldCharType="separate"/>
      </w:r>
      <w:r>
        <w:rPr>
          <w:highlight w:val="none"/>
        </w:rPr>
        <w:t>28</w:t>
      </w:r>
      <w:r>
        <w:rPr>
          <w:highlight w:val="none"/>
        </w:rPr>
        <w:fldChar w:fldCharType="end"/>
      </w:r>
      <w:r>
        <w:rPr>
          <w:highlight w:val="none"/>
        </w:rPr>
        <w:fldChar w:fldCharType="end"/>
      </w:r>
    </w:p>
    <w:p w14:paraId="187B22F2">
      <w:pPr>
        <w:pStyle w:val="23"/>
        <w:tabs>
          <w:tab w:val="right" w:leader="dot" w:pos="8306"/>
        </w:tabs>
        <w:ind w:left="420"/>
        <w:rPr>
          <w:highlight w:val="none"/>
        </w:rPr>
      </w:pPr>
      <w:r>
        <w:rPr>
          <w:highlight w:val="none"/>
        </w:rPr>
        <w:fldChar w:fldCharType="begin"/>
      </w:r>
      <w:r>
        <w:rPr>
          <w:highlight w:val="none"/>
        </w:rPr>
        <w:instrText xml:space="preserve"> HYPERLINK \l "_Toc12453" </w:instrText>
      </w:r>
      <w:r>
        <w:rPr>
          <w:highlight w:val="none"/>
        </w:rPr>
        <w:fldChar w:fldCharType="separate"/>
      </w:r>
      <w:r>
        <w:rPr>
          <w:highlight w:val="none"/>
        </w:rPr>
        <w:t xml:space="preserve">2. </w:t>
      </w:r>
      <w:r>
        <w:rPr>
          <w:rFonts w:hint="eastAsia"/>
          <w:highlight w:val="none"/>
        </w:rPr>
        <w:t>评审标准</w:t>
      </w:r>
      <w:r>
        <w:rPr>
          <w:highlight w:val="none"/>
        </w:rPr>
        <w:tab/>
      </w:r>
      <w:r>
        <w:rPr>
          <w:highlight w:val="none"/>
        </w:rPr>
        <w:fldChar w:fldCharType="begin"/>
      </w:r>
      <w:r>
        <w:rPr>
          <w:highlight w:val="none"/>
        </w:rPr>
        <w:instrText xml:space="preserve"> PAGEREF _Toc12453 \h </w:instrText>
      </w:r>
      <w:r>
        <w:rPr>
          <w:highlight w:val="none"/>
        </w:rPr>
        <w:fldChar w:fldCharType="separate"/>
      </w:r>
      <w:r>
        <w:rPr>
          <w:highlight w:val="none"/>
        </w:rPr>
        <w:t>28</w:t>
      </w:r>
      <w:r>
        <w:rPr>
          <w:highlight w:val="none"/>
        </w:rPr>
        <w:fldChar w:fldCharType="end"/>
      </w:r>
      <w:r>
        <w:rPr>
          <w:highlight w:val="none"/>
        </w:rPr>
        <w:fldChar w:fldCharType="end"/>
      </w:r>
    </w:p>
    <w:p w14:paraId="26294F0F">
      <w:pPr>
        <w:pStyle w:val="13"/>
        <w:tabs>
          <w:tab w:val="right" w:leader="dot" w:pos="8306"/>
        </w:tabs>
        <w:ind w:left="840"/>
        <w:rPr>
          <w:highlight w:val="none"/>
        </w:rPr>
      </w:pPr>
      <w:r>
        <w:rPr>
          <w:highlight w:val="none"/>
        </w:rPr>
        <w:fldChar w:fldCharType="begin"/>
      </w:r>
      <w:r>
        <w:rPr>
          <w:highlight w:val="none"/>
        </w:rPr>
        <w:instrText xml:space="preserve"> HYPERLINK \l "_Toc9710" </w:instrText>
      </w:r>
      <w:r>
        <w:rPr>
          <w:highlight w:val="none"/>
        </w:rPr>
        <w:fldChar w:fldCharType="separate"/>
      </w:r>
      <w:r>
        <w:rPr>
          <w:rFonts w:ascii="宋体" w:hAnsi="宋体"/>
          <w:highlight w:val="none"/>
        </w:rPr>
        <w:t xml:space="preserve">2.1 </w:t>
      </w:r>
      <w:r>
        <w:rPr>
          <w:rFonts w:hint="eastAsia" w:ascii="宋体" w:hAnsi="宋体"/>
          <w:highlight w:val="none"/>
        </w:rPr>
        <w:t>初步评审标准</w:t>
      </w:r>
      <w:r>
        <w:rPr>
          <w:highlight w:val="none"/>
        </w:rPr>
        <w:tab/>
      </w:r>
      <w:r>
        <w:rPr>
          <w:highlight w:val="none"/>
        </w:rPr>
        <w:fldChar w:fldCharType="begin"/>
      </w:r>
      <w:r>
        <w:rPr>
          <w:highlight w:val="none"/>
        </w:rPr>
        <w:instrText xml:space="preserve"> PAGEREF _Toc9710 \h </w:instrText>
      </w:r>
      <w:r>
        <w:rPr>
          <w:highlight w:val="none"/>
        </w:rPr>
        <w:fldChar w:fldCharType="separate"/>
      </w:r>
      <w:r>
        <w:rPr>
          <w:highlight w:val="none"/>
        </w:rPr>
        <w:t>28</w:t>
      </w:r>
      <w:r>
        <w:rPr>
          <w:highlight w:val="none"/>
        </w:rPr>
        <w:fldChar w:fldCharType="end"/>
      </w:r>
      <w:r>
        <w:rPr>
          <w:highlight w:val="none"/>
        </w:rPr>
        <w:fldChar w:fldCharType="end"/>
      </w:r>
    </w:p>
    <w:p w14:paraId="38A6415F">
      <w:pPr>
        <w:pStyle w:val="13"/>
        <w:tabs>
          <w:tab w:val="right" w:leader="dot" w:pos="8306"/>
        </w:tabs>
        <w:ind w:left="840"/>
        <w:rPr>
          <w:highlight w:val="none"/>
        </w:rPr>
      </w:pPr>
      <w:r>
        <w:rPr>
          <w:highlight w:val="none"/>
        </w:rPr>
        <w:fldChar w:fldCharType="begin"/>
      </w:r>
      <w:r>
        <w:rPr>
          <w:highlight w:val="none"/>
        </w:rPr>
        <w:instrText xml:space="preserve"> HYPERLINK \l "_Toc1958" </w:instrText>
      </w:r>
      <w:r>
        <w:rPr>
          <w:highlight w:val="none"/>
        </w:rPr>
        <w:fldChar w:fldCharType="separate"/>
      </w:r>
      <w:r>
        <w:rPr>
          <w:rFonts w:ascii="宋体" w:hAnsi="宋体"/>
          <w:highlight w:val="none"/>
        </w:rPr>
        <w:t xml:space="preserve">2.2 </w:t>
      </w:r>
      <w:r>
        <w:rPr>
          <w:rFonts w:hint="eastAsia" w:ascii="宋体" w:hAnsi="宋体"/>
          <w:highlight w:val="none"/>
        </w:rPr>
        <w:t>分值构成与评分标准</w:t>
      </w:r>
      <w:r>
        <w:rPr>
          <w:highlight w:val="none"/>
        </w:rPr>
        <w:tab/>
      </w:r>
      <w:r>
        <w:rPr>
          <w:highlight w:val="none"/>
        </w:rPr>
        <w:fldChar w:fldCharType="begin"/>
      </w:r>
      <w:r>
        <w:rPr>
          <w:highlight w:val="none"/>
        </w:rPr>
        <w:instrText xml:space="preserve"> PAGEREF _Toc1958 \h </w:instrText>
      </w:r>
      <w:r>
        <w:rPr>
          <w:highlight w:val="none"/>
        </w:rPr>
        <w:fldChar w:fldCharType="separate"/>
      </w:r>
      <w:r>
        <w:rPr>
          <w:highlight w:val="none"/>
        </w:rPr>
        <w:t>28</w:t>
      </w:r>
      <w:r>
        <w:rPr>
          <w:highlight w:val="none"/>
        </w:rPr>
        <w:fldChar w:fldCharType="end"/>
      </w:r>
      <w:r>
        <w:rPr>
          <w:highlight w:val="none"/>
        </w:rPr>
        <w:fldChar w:fldCharType="end"/>
      </w:r>
    </w:p>
    <w:p w14:paraId="51D3BBCF">
      <w:pPr>
        <w:pStyle w:val="23"/>
        <w:tabs>
          <w:tab w:val="right" w:leader="dot" w:pos="8306"/>
        </w:tabs>
        <w:ind w:left="420"/>
        <w:rPr>
          <w:highlight w:val="none"/>
        </w:rPr>
      </w:pPr>
      <w:r>
        <w:rPr>
          <w:highlight w:val="none"/>
        </w:rPr>
        <w:fldChar w:fldCharType="begin"/>
      </w:r>
      <w:r>
        <w:rPr>
          <w:highlight w:val="none"/>
        </w:rPr>
        <w:instrText xml:space="preserve"> HYPERLINK \l "_Toc32757" </w:instrText>
      </w:r>
      <w:r>
        <w:rPr>
          <w:highlight w:val="none"/>
        </w:rPr>
        <w:fldChar w:fldCharType="separate"/>
      </w:r>
      <w:r>
        <w:rPr>
          <w:highlight w:val="none"/>
        </w:rPr>
        <w:t xml:space="preserve">3. </w:t>
      </w:r>
      <w:r>
        <w:rPr>
          <w:rFonts w:hint="eastAsia"/>
          <w:highlight w:val="none"/>
        </w:rPr>
        <w:t>评标程序</w:t>
      </w:r>
      <w:r>
        <w:rPr>
          <w:highlight w:val="none"/>
        </w:rPr>
        <w:tab/>
      </w:r>
      <w:r>
        <w:rPr>
          <w:highlight w:val="none"/>
        </w:rPr>
        <w:fldChar w:fldCharType="begin"/>
      </w:r>
      <w:r>
        <w:rPr>
          <w:highlight w:val="none"/>
        </w:rPr>
        <w:instrText xml:space="preserve"> PAGEREF _Toc32757 \h </w:instrText>
      </w:r>
      <w:r>
        <w:rPr>
          <w:highlight w:val="none"/>
        </w:rPr>
        <w:fldChar w:fldCharType="separate"/>
      </w:r>
      <w:r>
        <w:rPr>
          <w:highlight w:val="none"/>
        </w:rPr>
        <w:t>28</w:t>
      </w:r>
      <w:r>
        <w:rPr>
          <w:highlight w:val="none"/>
        </w:rPr>
        <w:fldChar w:fldCharType="end"/>
      </w:r>
      <w:r>
        <w:rPr>
          <w:highlight w:val="none"/>
        </w:rPr>
        <w:fldChar w:fldCharType="end"/>
      </w:r>
    </w:p>
    <w:p w14:paraId="2A8A96C1">
      <w:pPr>
        <w:pStyle w:val="13"/>
        <w:tabs>
          <w:tab w:val="right" w:leader="dot" w:pos="8306"/>
        </w:tabs>
        <w:ind w:left="840"/>
        <w:rPr>
          <w:highlight w:val="none"/>
        </w:rPr>
      </w:pPr>
      <w:r>
        <w:rPr>
          <w:highlight w:val="none"/>
        </w:rPr>
        <w:fldChar w:fldCharType="begin"/>
      </w:r>
      <w:r>
        <w:rPr>
          <w:highlight w:val="none"/>
        </w:rPr>
        <w:instrText xml:space="preserve"> HYPERLINK \l "_Toc22546" </w:instrText>
      </w:r>
      <w:r>
        <w:rPr>
          <w:highlight w:val="none"/>
        </w:rPr>
        <w:fldChar w:fldCharType="separate"/>
      </w:r>
      <w:r>
        <w:rPr>
          <w:rFonts w:ascii="宋体" w:hAnsi="宋体"/>
          <w:highlight w:val="none"/>
        </w:rPr>
        <w:t xml:space="preserve">3.1 </w:t>
      </w:r>
      <w:r>
        <w:rPr>
          <w:rFonts w:hint="eastAsia" w:ascii="宋体" w:hAnsi="宋体"/>
          <w:highlight w:val="none"/>
        </w:rPr>
        <w:t>初步评审</w:t>
      </w:r>
      <w:r>
        <w:rPr>
          <w:highlight w:val="none"/>
        </w:rPr>
        <w:tab/>
      </w:r>
      <w:r>
        <w:rPr>
          <w:highlight w:val="none"/>
        </w:rPr>
        <w:fldChar w:fldCharType="begin"/>
      </w:r>
      <w:r>
        <w:rPr>
          <w:highlight w:val="none"/>
        </w:rPr>
        <w:instrText xml:space="preserve"> PAGEREF _Toc22546 \h </w:instrText>
      </w:r>
      <w:r>
        <w:rPr>
          <w:highlight w:val="none"/>
        </w:rPr>
        <w:fldChar w:fldCharType="separate"/>
      </w:r>
      <w:r>
        <w:rPr>
          <w:highlight w:val="none"/>
        </w:rPr>
        <w:t>28</w:t>
      </w:r>
      <w:r>
        <w:rPr>
          <w:highlight w:val="none"/>
        </w:rPr>
        <w:fldChar w:fldCharType="end"/>
      </w:r>
      <w:r>
        <w:rPr>
          <w:highlight w:val="none"/>
        </w:rPr>
        <w:fldChar w:fldCharType="end"/>
      </w:r>
    </w:p>
    <w:p w14:paraId="3C32F2B7">
      <w:pPr>
        <w:pStyle w:val="13"/>
        <w:tabs>
          <w:tab w:val="right" w:leader="dot" w:pos="8306"/>
        </w:tabs>
        <w:ind w:left="840"/>
        <w:rPr>
          <w:highlight w:val="none"/>
        </w:rPr>
      </w:pPr>
      <w:r>
        <w:rPr>
          <w:highlight w:val="none"/>
        </w:rPr>
        <w:fldChar w:fldCharType="begin"/>
      </w:r>
      <w:r>
        <w:rPr>
          <w:highlight w:val="none"/>
        </w:rPr>
        <w:instrText xml:space="preserve"> HYPERLINK \l "_Toc78" </w:instrText>
      </w:r>
      <w:r>
        <w:rPr>
          <w:highlight w:val="none"/>
        </w:rPr>
        <w:fldChar w:fldCharType="separate"/>
      </w:r>
      <w:r>
        <w:rPr>
          <w:rFonts w:ascii="宋体" w:hAnsi="宋体"/>
          <w:highlight w:val="none"/>
        </w:rPr>
        <w:t xml:space="preserve">3.2 </w:t>
      </w:r>
      <w:r>
        <w:rPr>
          <w:rFonts w:hint="eastAsia" w:ascii="宋体" w:hAnsi="宋体"/>
          <w:highlight w:val="none"/>
        </w:rPr>
        <w:t>详细评审</w:t>
      </w:r>
      <w:r>
        <w:rPr>
          <w:highlight w:val="none"/>
        </w:rPr>
        <w:tab/>
      </w:r>
      <w:r>
        <w:rPr>
          <w:highlight w:val="none"/>
        </w:rPr>
        <w:fldChar w:fldCharType="begin"/>
      </w:r>
      <w:r>
        <w:rPr>
          <w:highlight w:val="none"/>
        </w:rPr>
        <w:instrText xml:space="preserve"> PAGEREF _Toc78 \h </w:instrText>
      </w:r>
      <w:r>
        <w:rPr>
          <w:highlight w:val="none"/>
        </w:rPr>
        <w:fldChar w:fldCharType="separate"/>
      </w:r>
      <w:r>
        <w:rPr>
          <w:highlight w:val="none"/>
        </w:rPr>
        <w:t>29</w:t>
      </w:r>
      <w:r>
        <w:rPr>
          <w:highlight w:val="none"/>
        </w:rPr>
        <w:fldChar w:fldCharType="end"/>
      </w:r>
      <w:r>
        <w:rPr>
          <w:highlight w:val="none"/>
        </w:rPr>
        <w:fldChar w:fldCharType="end"/>
      </w:r>
    </w:p>
    <w:p w14:paraId="681F729F">
      <w:pPr>
        <w:pStyle w:val="13"/>
        <w:tabs>
          <w:tab w:val="right" w:leader="dot" w:pos="8306"/>
        </w:tabs>
        <w:ind w:left="840"/>
        <w:rPr>
          <w:highlight w:val="none"/>
        </w:rPr>
      </w:pPr>
      <w:r>
        <w:rPr>
          <w:highlight w:val="none"/>
        </w:rPr>
        <w:fldChar w:fldCharType="begin"/>
      </w:r>
      <w:r>
        <w:rPr>
          <w:highlight w:val="none"/>
        </w:rPr>
        <w:instrText xml:space="preserve"> HYPERLINK \l "_Toc23247" </w:instrText>
      </w:r>
      <w:r>
        <w:rPr>
          <w:highlight w:val="none"/>
        </w:rPr>
        <w:fldChar w:fldCharType="separate"/>
      </w:r>
      <w:r>
        <w:rPr>
          <w:rFonts w:ascii="宋体" w:hAnsi="宋体"/>
          <w:highlight w:val="none"/>
        </w:rPr>
        <w:t xml:space="preserve">3.3 </w:t>
      </w:r>
      <w:r>
        <w:rPr>
          <w:rFonts w:hint="eastAsia" w:ascii="宋体" w:hAnsi="宋体"/>
          <w:highlight w:val="none"/>
        </w:rPr>
        <w:t>投标文件的澄清</w:t>
      </w:r>
      <w:r>
        <w:rPr>
          <w:highlight w:val="none"/>
        </w:rPr>
        <w:tab/>
      </w:r>
      <w:r>
        <w:rPr>
          <w:highlight w:val="none"/>
        </w:rPr>
        <w:fldChar w:fldCharType="begin"/>
      </w:r>
      <w:r>
        <w:rPr>
          <w:highlight w:val="none"/>
        </w:rPr>
        <w:instrText xml:space="preserve"> PAGEREF _Toc23247 \h </w:instrText>
      </w:r>
      <w:r>
        <w:rPr>
          <w:highlight w:val="none"/>
        </w:rPr>
        <w:fldChar w:fldCharType="separate"/>
      </w:r>
      <w:r>
        <w:rPr>
          <w:highlight w:val="none"/>
        </w:rPr>
        <w:t>29</w:t>
      </w:r>
      <w:r>
        <w:rPr>
          <w:highlight w:val="none"/>
        </w:rPr>
        <w:fldChar w:fldCharType="end"/>
      </w:r>
      <w:r>
        <w:rPr>
          <w:highlight w:val="none"/>
        </w:rPr>
        <w:fldChar w:fldCharType="end"/>
      </w:r>
    </w:p>
    <w:p w14:paraId="1FA847C3">
      <w:pPr>
        <w:pStyle w:val="13"/>
        <w:tabs>
          <w:tab w:val="right" w:leader="dot" w:pos="8306"/>
        </w:tabs>
        <w:ind w:left="840"/>
        <w:rPr>
          <w:highlight w:val="none"/>
        </w:rPr>
      </w:pPr>
      <w:r>
        <w:rPr>
          <w:highlight w:val="none"/>
        </w:rPr>
        <w:fldChar w:fldCharType="begin"/>
      </w:r>
      <w:r>
        <w:rPr>
          <w:highlight w:val="none"/>
        </w:rPr>
        <w:instrText xml:space="preserve"> HYPERLINK \l "_Toc25316" </w:instrText>
      </w:r>
      <w:r>
        <w:rPr>
          <w:highlight w:val="none"/>
        </w:rPr>
        <w:fldChar w:fldCharType="separate"/>
      </w:r>
      <w:r>
        <w:rPr>
          <w:rFonts w:ascii="宋体" w:hAnsi="宋体"/>
          <w:highlight w:val="none"/>
        </w:rPr>
        <w:t xml:space="preserve">3.4 </w:t>
      </w:r>
      <w:r>
        <w:rPr>
          <w:rFonts w:hint="eastAsia" w:ascii="宋体" w:hAnsi="宋体"/>
          <w:highlight w:val="none"/>
        </w:rPr>
        <w:t>评标结果</w:t>
      </w:r>
      <w:r>
        <w:rPr>
          <w:highlight w:val="none"/>
        </w:rPr>
        <w:tab/>
      </w:r>
      <w:r>
        <w:rPr>
          <w:highlight w:val="none"/>
        </w:rPr>
        <w:fldChar w:fldCharType="begin"/>
      </w:r>
      <w:r>
        <w:rPr>
          <w:highlight w:val="none"/>
        </w:rPr>
        <w:instrText xml:space="preserve"> PAGEREF _Toc25316 \h </w:instrText>
      </w:r>
      <w:r>
        <w:rPr>
          <w:highlight w:val="none"/>
        </w:rPr>
        <w:fldChar w:fldCharType="separate"/>
      </w:r>
      <w:r>
        <w:rPr>
          <w:highlight w:val="none"/>
        </w:rPr>
        <w:t>29</w:t>
      </w:r>
      <w:r>
        <w:rPr>
          <w:highlight w:val="none"/>
        </w:rPr>
        <w:fldChar w:fldCharType="end"/>
      </w:r>
      <w:r>
        <w:rPr>
          <w:highlight w:val="none"/>
        </w:rPr>
        <w:fldChar w:fldCharType="end"/>
      </w:r>
    </w:p>
    <w:p w14:paraId="70552314">
      <w:pPr>
        <w:pStyle w:val="20"/>
        <w:tabs>
          <w:tab w:val="right" w:leader="dot" w:pos="8306"/>
        </w:tabs>
        <w:rPr>
          <w:highlight w:val="none"/>
        </w:rPr>
      </w:pPr>
      <w:r>
        <w:rPr>
          <w:highlight w:val="none"/>
        </w:rPr>
        <w:fldChar w:fldCharType="begin"/>
      </w:r>
      <w:r>
        <w:rPr>
          <w:highlight w:val="none"/>
        </w:rPr>
        <w:instrText xml:space="preserve"> HYPERLINK \l "_Toc4171" </w:instrText>
      </w:r>
      <w:r>
        <w:rPr>
          <w:highlight w:val="none"/>
        </w:rPr>
        <w:fldChar w:fldCharType="separate"/>
      </w:r>
      <w:r>
        <w:rPr>
          <w:rFonts w:hint="eastAsia"/>
          <w:highlight w:val="none"/>
        </w:rPr>
        <w:t>第四章</w:t>
      </w:r>
      <w:r>
        <w:rPr>
          <w:highlight w:val="none"/>
        </w:rPr>
        <w:t xml:space="preserve"> </w:t>
      </w:r>
      <w:r>
        <w:rPr>
          <w:rFonts w:hint="eastAsia"/>
          <w:highlight w:val="none"/>
        </w:rPr>
        <w:t>合同条款及格式</w:t>
      </w:r>
      <w:r>
        <w:rPr>
          <w:highlight w:val="none"/>
        </w:rPr>
        <w:tab/>
      </w:r>
      <w:r>
        <w:rPr>
          <w:highlight w:val="none"/>
        </w:rPr>
        <w:fldChar w:fldCharType="begin"/>
      </w:r>
      <w:r>
        <w:rPr>
          <w:highlight w:val="none"/>
        </w:rPr>
        <w:instrText xml:space="preserve"> PAGEREF _Toc4171 \h </w:instrText>
      </w:r>
      <w:r>
        <w:rPr>
          <w:highlight w:val="none"/>
        </w:rPr>
        <w:fldChar w:fldCharType="separate"/>
      </w:r>
      <w:r>
        <w:rPr>
          <w:highlight w:val="none"/>
        </w:rPr>
        <w:t>30</w:t>
      </w:r>
      <w:r>
        <w:rPr>
          <w:highlight w:val="none"/>
        </w:rPr>
        <w:fldChar w:fldCharType="end"/>
      </w:r>
      <w:r>
        <w:rPr>
          <w:highlight w:val="none"/>
        </w:rPr>
        <w:fldChar w:fldCharType="end"/>
      </w:r>
    </w:p>
    <w:p w14:paraId="5F8C8EB5">
      <w:pPr>
        <w:pStyle w:val="20"/>
        <w:tabs>
          <w:tab w:val="right" w:leader="dot" w:pos="8306"/>
        </w:tabs>
        <w:rPr>
          <w:highlight w:val="none"/>
        </w:rPr>
      </w:pPr>
      <w:r>
        <w:rPr>
          <w:highlight w:val="none"/>
        </w:rPr>
        <w:fldChar w:fldCharType="begin"/>
      </w:r>
      <w:r>
        <w:rPr>
          <w:highlight w:val="none"/>
        </w:rPr>
        <w:instrText xml:space="preserve"> HYPERLINK \l "_Toc15826" </w:instrText>
      </w:r>
      <w:r>
        <w:rPr>
          <w:highlight w:val="none"/>
        </w:rPr>
        <w:fldChar w:fldCharType="separate"/>
      </w:r>
      <w:r>
        <w:rPr>
          <w:rFonts w:hint="eastAsia"/>
          <w:highlight w:val="none"/>
        </w:rPr>
        <w:t>第五章</w:t>
      </w:r>
      <w:r>
        <w:rPr>
          <w:highlight w:val="none"/>
        </w:rPr>
        <w:t xml:space="preserve"> </w:t>
      </w:r>
      <w:r>
        <w:rPr>
          <w:rFonts w:hint="eastAsia"/>
          <w:highlight w:val="none"/>
        </w:rPr>
        <w:t>委托人要求</w:t>
      </w:r>
      <w:r>
        <w:rPr>
          <w:highlight w:val="none"/>
        </w:rPr>
        <w:tab/>
      </w:r>
      <w:r>
        <w:rPr>
          <w:highlight w:val="none"/>
        </w:rPr>
        <w:fldChar w:fldCharType="begin"/>
      </w:r>
      <w:r>
        <w:rPr>
          <w:highlight w:val="none"/>
        </w:rPr>
        <w:instrText xml:space="preserve"> PAGEREF _Toc15826 \h </w:instrText>
      </w:r>
      <w:r>
        <w:rPr>
          <w:highlight w:val="none"/>
        </w:rPr>
        <w:fldChar w:fldCharType="separate"/>
      </w:r>
      <w:r>
        <w:rPr>
          <w:highlight w:val="none"/>
        </w:rPr>
        <w:t>42</w:t>
      </w:r>
      <w:r>
        <w:rPr>
          <w:highlight w:val="none"/>
        </w:rPr>
        <w:fldChar w:fldCharType="end"/>
      </w:r>
      <w:r>
        <w:rPr>
          <w:highlight w:val="none"/>
        </w:rPr>
        <w:fldChar w:fldCharType="end"/>
      </w:r>
    </w:p>
    <w:p w14:paraId="54ADC32D">
      <w:pPr>
        <w:pStyle w:val="20"/>
        <w:tabs>
          <w:tab w:val="right" w:leader="dot" w:pos="8306"/>
        </w:tabs>
        <w:rPr>
          <w:highlight w:val="none"/>
        </w:rPr>
      </w:pPr>
      <w:r>
        <w:rPr>
          <w:highlight w:val="none"/>
        </w:rPr>
        <w:fldChar w:fldCharType="begin"/>
      </w:r>
      <w:r>
        <w:rPr>
          <w:highlight w:val="none"/>
        </w:rPr>
        <w:instrText xml:space="preserve"> HYPERLINK \l "_Toc22393" </w:instrText>
      </w:r>
      <w:r>
        <w:rPr>
          <w:highlight w:val="none"/>
        </w:rPr>
        <w:fldChar w:fldCharType="separate"/>
      </w:r>
      <w:r>
        <w:rPr>
          <w:rFonts w:hint="eastAsia"/>
          <w:highlight w:val="none"/>
        </w:rPr>
        <w:t>第六章</w:t>
      </w:r>
      <w:r>
        <w:rPr>
          <w:highlight w:val="none"/>
        </w:rPr>
        <w:t xml:space="preserve"> </w:t>
      </w:r>
      <w:r>
        <w:rPr>
          <w:rFonts w:hint="eastAsia"/>
          <w:highlight w:val="none"/>
        </w:rPr>
        <w:t>投标文件格式</w:t>
      </w:r>
      <w:r>
        <w:rPr>
          <w:highlight w:val="none"/>
        </w:rPr>
        <w:tab/>
      </w:r>
      <w:r>
        <w:rPr>
          <w:highlight w:val="none"/>
        </w:rPr>
        <w:fldChar w:fldCharType="begin"/>
      </w:r>
      <w:r>
        <w:rPr>
          <w:highlight w:val="none"/>
        </w:rPr>
        <w:instrText xml:space="preserve"> PAGEREF _Toc22393 \h </w:instrText>
      </w:r>
      <w:r>
        <w:rPr>
          <w:highlight w:val="none"/>
        </w:rPr>
        <w:fldChar w:fldCharType="separate"/>
      </w:r>
      <w:r>
        <w:rPr>
          <w:highlight w:val="none"/>
        </w:rPr>
        <w:t>44</w:t>
      </w:r>
      <w:r>
        <w:rPr>
          <w:highlight w:val="none"/>
        </w:rPr>
        <w:fldChar w:fldCharType="end"/>
      </w:r>
      <w:r>
        <w:rPr>
          <w:highlight w:val="none"/>
        </w:rPr>
        <w:fldChar w:fldCharType="end"/>
      </w:r>
    </w:p>
    <w:p w14:paraId="314DC855">
      <w:pPr>
        <w:pStyle w:val="23"/>
        <w:tabs>
          <w:tab w:val="right" w:leader="dot" w:pos="8306"/>
        </w:tabs>
        <w:ind w:left="420"/>
        <w:rPr>
          <w:highlight w:val="none"/>
        </w:rPr>
      </w:pPr>
      <w:r>
        <w:rPr>
          <w:highlight w:val="none"/>
        </w:rPr>
        <w:fldChar w:fldCharType="begin"/>
      </w:r>
      <w:r>
        <w:rPr>
          <w:highlight w:val="none"/>
        </w:rPr>
        <w:instrText xml:space="preserve"> HYPERLINK \l "_Toc16397" </w:instrText>
      </w:r>
      <w:r>
        <w:rPr>
          <w:highlight w:val="none"/>
        </w:rPr>
        <w:fldChar w:fldCharType="separate"/>
      </w:r>
      <w:r>
        <w:rPr>
          <w:rFonts w:hint="eastAsia"/>
          <w:highlight w:val="none"/>
        </w:rPr>
        <w:t>目</w:t>
      </w:r>
      <w:r>
        <w:rPr>
          <w:highlight w:val="none"/>
        </w:rPr>
        <w:t xml:space="preserve">  </w:t>
      </w:r>
      <w:r>
        <w:rPr>
          <w:rFonts w:hint="eastAsia"/>
          <w:highlight w:val="none"/>
        </w:rPr>
        <w:t>录</w:t>
      </w:r>
      <w:r>
        <w:rPr>
          <w:highlight w:val="none"/>
        </w:rPr>
        <w:tab/>
      </w:r>
      <w:r>
        <w:rPr>
          <w:highlight w:val="none"/>
        </w:rPr>
        <w:fldChar w:fldCharType="begin"/>
      </w:r>
      <w:r>
        <w:rPr>
          <w:highlight w:val="none"/>
        </w:rPr>
        <w:instrText xml:space="preserve"> PAGEREF _Toc16397 \h </w:instrText>
      </w:r>
      <w:r>
        <w:rPr>
          <w:highlight w:val="none"/>
        </w:rPr>
        <w:fldChar w:fldCharType="separate"/>
      </w:r>
      <w:r>
        <w:rPr>
          <w:highlight w:val="none"/>
        </w:rPr>
        <w:t>46</w:t>
      </w:r>
      <w:r>
        <w:rPr>
          <w:highlight w:val="none"/>
        </w:rPr>
        <w:fldChar w:fldCharType="end"/>
      </w:r>
      <w:r>
        <w:rPr>
          <w:highlight w:val="none"/>
        </w:rPr>
        <w:fldChar w:fldCharType="end"/>
      </w:r>
    </w:p>
    <w:p w14:paraId="7FF36FC3">
      <w:pPr>
        <w:pStyle w:val="23"/>
        <w:tabs>
          <w:tab w:val="right" w:leader="dot" w:pos="8306"/>
        </w:tabs>
        <w:ind w:left="420"/>
        <w:rPr>
          <w:highlight w:val="none"/>
        </w:rPr>
      </w:pPr>
      <w:r>
        <w:rPr>
          <w:highlight w:val="none"/>
        </w:rPr>
        <w:fldChar w:fldCharType="begin"/>
      </w:r>
      <w:r>
        <w:rPr>
          <w:highlight w:val="none"/>
        </w:rPr>
        <w:instrText xml:space="preserve"> HYPERLINK \l "_Toc30773" </w:instrText>
      </w:r>
      <w:r>
        <w:rPr>
          <w:highlight w:val="none"/>
        </w:rPr>
        <w:fldChar w:fldCharType="separate"/>
      </w:r>
      <w:r>
        <w:rPr>
          <w:rFonts w:hint="eastAsia"/>
          <w:highlight w:val="none"/>
        </w:rPr>
        <w:t>一、投标函及附录</w:t>
      </w:r>
      <w:r>
        <w:rPr>
          <w:highlight w:val="none"/>
        </w:rPr>
        <w:tab/>
      </w:r>
      <w:r>
        <w:rPr>
          <w:highlight w:val="none"/>
        </w:rPr>
        <w:fldChar w:fldCharType="begin"/>
      </w:r>
      <w:r>
        <w:rPr>
          <w:highlight w:val="none"/>
        </w:rPr>
        <w:instrText xml:space="preserve"> PAGEREF _Toc30773 \h </w:instrText>
      </w:r>
      <w:r>
        <w:rPr>
          <w:highlight w:val="none"/>
        </w:rPr>
        <w:fldChar w:fldCharType="separate"/>
      </w:r>
      <w:r>
        <w:rPr>
          <w:highlight w:val="none"/>
        </w:rPr>
        <w:t>47</w:t>
      </w:r>
      <w:r>
        <w:rPr>
          <w:highlight w:val="none"/>
        </w:rPr>
        <w:fldChar w:fldCharType="end"/>
      </w:r>
      <w:r>
        <w:rPr>
          <w:highlight w:val="none"/>
        </w:rPr>
        <w:fldChar w:fldCharType="end"/>
      </w:r>
    </w:p>
    <w:p w14:paraId="1FF2CE7D">
      <w:pPr>
        <w:pStyle w:val="13"/>
        <w:tabs>
          <w:tab w:val="right" w:leader="dot" w:pos="8306"/>
        </w:tabs>
        <w:ind w:left="840"/>
        <w:rPr>
          <w:highlight w:val="none"/>
        </w:rPr>
      </w:pPr>
      <w:r>
        <w:rPr>
          <w:highlight w:val="none"/>
        </w:rPr>
        <w:fldChar w:fldCharType="begin"/>
      </w:r>
      <w:r>
        <w:rPr>
          <w:highlight w:val="none"/>
        </w:rPr>
        <w:instrText xml:space="preserve"> HYPERLINK \l "_Toc12610" </w:instrText>
      </w:r>
      <w:r>
        <w:rPr>
          <w:highlight w:val="none"/>
        </w:rPr>
        <w:fldChar w:fldCharType="separate"/>
      </w:r>
      <w:r>
        <w:rPr>
          <w:rFonts w:hint="eastAsia" w:ascii="宋体" w:hAnsi="宋体"/>
          <w:highlight w:val="none"/>
        </w:rPr>
        <w:t>（一）投标函</w:t>
      </w:r>
      <w:r>
        <w:rPr>
          <w:highlight w:val="none"/>
        </w:rPr>
        <w:tab/>
      </w:r>
      <w:r>
        <w:rPr>
          <w:highlight w:val="none"/>
        </w:rPr>
        <w:fldChar w:fldCharType="begin"/>
      </w:r>
      <w:r>
        <w:rPr>
          <w:highlight w:val="none"/>
        </w:rPr>
        <w:instrText xml:space="preserve"> PAGEREF _Toc12610 \h </w:instrText>
      </w:r>
      <w:r>
        <w:rPr>
          <w:highlight w:val="none"/>
        </w:rPr>
        <w:fldChar w:fldCharType="separate"/>
      </w:r>
      <w:r>
        <w:rPr>
          <w:highlight w:val="none"/>
        </w:rPr>
        <w:t>47</w:t>
      </w:r>
      <w:r>
        <w:rPr>
          <w:highlight w:val="none"/>
        </w:rPr>
        <w:fldChar w:fldCharType="end"/>
      </w:r>
      <w:r>
        <w:rPr>
          <w:highlight w:val="none"/>
        </w:rPr>
        <w:fldChar w:fldCharType="end"/>
      </w:r>
    </w:p>
    <w:p w14:paraId="2D88D2EB">
      <w:pPr>
        <w:pStyle w:val="13"/>
        <w:tabs>
          <w:tab w:val="right" w:leader="dot" w:pos="8306"/>
        </w:tabs>
        <w:ind w:left="840"/>
        <w:rPr>
          <w:highlight w:val="none"/>
        </w:rPr>
      </w:pPr>
      <w:r>
        <w:rPr>
          <w:highlight w:val="none"/>
        </w:rPr>
        <w:fldChar w:fldCharType="begin"/>
      </w:r>
      <w:r>
        <w:rPr>
          <w:highlight w:val="none"/>
        </w:rPr>
        <w:instrText xml:space="preserve"> HYPERLINK \l "_Toc31742" </w:instrText>
      </w:r>
      <w:r>
        <w:rPr>
          <w:highlight w:val="none"/>
        </w:rPr>
        <w:fldChar w:fldCharType="separate"/>
      </w:r>
      <w:r>
        <w:rPr>
          <w:rFonts w:hint="eastAsia" w:ascii="宋体" w:hAnsi="宋体"/>
          <w:highlight w:val="none"/>
        </w:rPr>
        <w:t>（二）投标函附录</w:t>
      </w:r>
      <w:r>
        <w:rPr>
          <w:highlight w:val="none"/>
        </w:rPr>
        <w:tab/>
      </w:r>
      <w:r>
        <w:rPr>
          <w:highlight w:val="none"/>
        </w:rPr>
        <w:fldChar w:fldCharType="begin"/>
      </w:r>
      <w:r>
        <w:rPr>
          <w:highlight w:val="none"/>
        </w:rPr>
        <w:instrText xml:space="preserve"> PAGEREF _Toc31742 \h </w:instrText>
      </w:r>
      <w:r>
        <w:rPr>
          <w:highlight w:val="none"/>
        </w:rPr>
        <w:fldChar w:fldCharType="separate"/>
      </w:r>
      <w:r>
        <w:rPr>
          <w:highlight w:val="none"/>
        </w:rPr>
        <w:t>48</w:t>
      </w:r>
      <w:r>
        <w:rPr>
          <w:highlight w:val="none"/>
        </w:rPr>
        <w:fldChar w:fldCharType="end"/>
      </w:r>
      <w:r>
        <w:rPr>
          <w:highlight w:val="none"/>
        </w:rPr>
        <w:fldChar w:fldCharType="end"/>
      </w:r>
    </w:p>
    <w:p w14:paraId="1CDFBB8F">
      <w:pPr>
        <w:pStyle w:val="23"/>
        <w:tabs>
          <w:tab w:val="right" w:leader="dot" w:pos="8306"/>
        </w:tabs>
        <w:ind w:left="420"/>
        <w:rPr>
          <w:highlight w:val="none"/>
        </w:rPr>
      </w:pPr>
      <w:r>
        <w:rPr>
          <w:highlight w:val="none"/>
        </w:rPr>
        <w:fldChar w:fldCharType="begin"/>
      </w:r>
      <w:r>
        <w:rPr>
          <w:highlight w:val="none"/>
        </w:rPr>
        <w:instrText xml:space="preserve"> HYPERLINK \l "_Toc10957" </w:instrText>
      </w:r>
      <w:r>
        <w:rPr>
          <w:highlight w:val="none"/>
        </w:rPr>
        <w:fldChar w:fldCharType="separate"/>
      </w:r>
      <w:r>
        <w:rPr>
          <w:rFonts w:hint="eastAsia"/>
          <w:highlight w:val="none"/>
        </w:rPr>
        <w:t>二、法定代表人证明书及授权委托证明书</w:t>
      </w:r>
      <w:r>
        <w:rPr>
          <w:highlight w:val="none"/>
        </w:rPr>
        <w:tab/>
      </w:r>
      <w:r>
        <w:rPr>
          <w:highlight w:val="none"/>
        </w:rPr>
        <w:fldChar w:fldCharType="begin"/>
      </w:r>
      <w:r>
        <w:rPr>
          <w:highlight w:val="none"/>
        </w:rPr>
        <w:instrText xml:space="preserve"> PAGEREF _Toc10957 \h </w:instrText>
      </w:r>
      <w:r>
        <w:rPr>
          <w:highlight w:val="none"/>
        </w:rPr>
        <w:fldChar w:fldCharType="separate"/>
      </w:r>
      <w:r>
        <w:rPr>
          <w:highlight w:val="none"/>
        </w:rPr>
        <w:t>49</w:t>
      </w:r>
      <w:r>
        <w:rPr>
          <w:highlight w:val="none"/>
        </w:rPr>
        <w:fldChar w:fldCharType="end"/>
      </w:r>
      <w:r>
        <w:rPr>
          <w:highlight w:val="none"/>
        </w:rPr>
        <w:fldChar w:fldCharType="end"/>
      </w:r>
    </w:p>
    <w:p w14:paraId="0849FF56">
      <w:pPr>
        <w:pStyle w:val="23"/>
        <w:tabs>
          <w:tab w:val="right" w:leader="dot" w:pos="8306"/>
        </w:tabs>
        <w:ind w:left="420"/>
        <w:rPr>
          <w:highlight w:val="none"/>
        </w:rPr>
      </w:pPr>
      <w:r>
        <w:rPr>
          <w:highlight w:val="none"/>
        </w:rPr>
        <w:fldChar w:fldCharType="begin"/>
      </w:r>
      <w:r>
        <w:rPr>
          <w:highlight w:val="none"/>
        </w:rPr>
        <w:instrText xml:space="preserve"> HYPERLINK \l "_Toc24393" </w:instrText>
      </w:r>
      <w:r>
        <w:rPr>
          <w:highlight w:val="none"/>
        </w:rPr>
        <w:fldChar w:fldCharType="separate"/>
      </w:r>
      <w:r>
        <w:rPr>
          <w:rFonts w:hint="eastAsia"/>
          <w:highlight w:val="none"/>
        </w:rPr>
        <w:t>三、投标报价表</w:t>
      </w:r>
      <w:r>
        <w:rPr>
          <w:highlight w:val="none"/>
        </w:rPr>
        <w:tab/>
      </w:r>
      <w:r>
        <w:rPr>
          <w:highlight w:val="none"/>
        </w:rPr>
        <w:fldChar w:fldCharType="begin"/>
      </w:r>
      <w:r>
        <w:rPr>
          <w:highlight w:val="none"/>
        </w:rPr>
        <w:instrText xml:space="preserve"> PAGEREF _Toc24393 \h </w:instrText>
      </w:r>
      <w:r>
        <w:rPr>
          <w:highlight w:val="none"/>
        </w:rPr>
        <w:fldChar w:fldCharType="separate"/>
      </w:r>
      <w:r>
        <w:rPr>
          <w:highlight w:val="none"/>
        </w:rPr>
        <w:t>50</w:t>
      </w:r>
      <w:r>
        <w:rPr>
          <w:highlight w:val="none"/>
        </w:rPr>
        <w:fldChar w:fldCharType="end"/>
      </w:r>
      <w:r>
        <w:rPr>
          <w:highlight w:val="none"/>
        </w:rPr>
        <w:fldChar w:fldCharType="end"/>
      </w:r>
    </w:p>
    <w:p w14:paraId="3EF8AFD4">
      <w:pPr>
        <w:pStyle w:val="23"/>
        <w:tabs>
          <w:tab w:val="right" w:leader="dot" w:pos="8306"/>
        </w:tabs>
        <w:ind w:left="420"/>
        <w:rPr>
          <w:highlight w:val="none"/>
        </w:rPr>
      </w:pPr>
      <w:r>
        <w:rPr>
          <w:highlight w:val="none"/>
        </w:rPr>
        <w:fldChar w:fldCharType="begin"/>
      </w:r>
      <w:r>
        <w:rPr>
          <w:highlight w:val="none"/>
        </w:rPr>
        <w:instrText xml:space="preserve"> HYPERLINK \l "_Toc30030" </w:instrText>
      </w:r>
      <w:r>
        <w:rPr>
          <w:highlight w:val="none"/>
        </w:rPr>
        <w:fldChar w:fldCharType="separate"/>
      </w:r>
      <w:r>
        <w:rPr>
          <w:rFonts w:hint="eastAsia"/>
          <w:highlight w:val="none"/>
        </w:rPr>
        <w:t>四、资格审查资料</w:t>
      </w:r>
      <w:r>
        <w:rPr>
          <w:highlight w:val="none"/>
        </w:rPr>
        <w:tab/>
      </w:r>
      <w:r>
        <w:rPr>
          <w:highlight w:val="none"/>
        </w:rPr>
        <w:fldChar w:fldCharType="begin"/>
      </w:r>
      <w:r>
        <w:rPr>
          <w:highlight w:val="none"/>
        </w:rPr>
        <w:instrText xml:space="preserve"> PAGEREF _Toc30030 \h </w:instrText>
      </w:r>
      <w:r>
        <w:rPr>
          <w:highlight w:val="none"/>
        </w:rPr>
        <w:fldChar w:fldCharType="separate"/>
      </w:r>
      <w:r>
        <w:rPr>
          <w:highlight w:val="none"/>
        </w:rPr>
        <w:t>51</w:t>
      </w:r>
      <w:r>
        <w:rPr>
          <w:highlight w:val="none"/>
        </w:rPr>
        <w:fldChar w:fldCharType="end"/>
      </w:r>
      <w:r>
        <w:rPr>
          <w:highlight w:val="none"/>
        </w:rPr>
        <w:fldChar w:fldCharType="end"/>
      </w:r>
    </w:p>
    <w:p w14:paraId="10F00BDC">
      <w:pPr>
        <w:pStyle w:val="23"/>
        <w:tabs>
          <w:tab w:val="right" w:leader="dot" w:pos="8306"/>
        </w:tabs>
        <w:ind w:left="420"/>
        <w:rPr>
          <w:highlight w:val="none"/>
        </w:rPr>
      </w:pPr>
      <w:r>
        <w:rPr>
          <w:highlight w:val="none"/>
        </w:rPr>
        <w:fldChar w:fldCharType="begin"/>
      </w:r>
      <w:r>
        <w:rPr>
          <w:highlight w:val="none"/>
        </w:rPr>
        <w:instrText xml:space="preserve"> HYPERLINK \l "_Toc30277" </w:instrText>
      </w:r>
      <w:r>
        <w:rPr>
          <w:highlight w:val="none"/>
        </w:rPr>
        <w:fldChar w:fldCharType="separate"/>
      </w:r>
      <w:r>
        <w:rPr>
          <w:rFonts w:hint="eastAsia"/>
          <w:highlight w:val="none"/>
        </w:rPr>
        <w:t>五、投标人声明</w:t>
      </w:r>
      <w:r>
        <w:rPr>
          <w:highlight w:val="none"/>
        </w:rPr>
        <w:tab/>
      </w:r>
      <w:r>
        <w:rPr>
          <w:highlight w:val="none"/>
        </w:rPr>
        <w:fldChar w:fldCharType="begin"/>
      </w:r>
      <w:r>
        <w:rPr>
          <w:highlight w:val="none"/>
        </w:rPr>
        <w:instrText xml:space="preserve"> PAGEREF _Toc30277 \h </w:instrText>
      </w:r>
      <w:r>
        <w:rPr>
          <w:highlight w:val="none"/>
        </w:rPr>
        <w:fldChar w:fldCharType="separate"/>
      </w:r>
      <w:r>
        <w:rPr>
          <w:highlight w:val="none"/>
        </w:rPr>
        <w:t>52</w:t>
      </w:r>
      <w:r>
        <w:rPr>
          <w:highlight w:val="none"/>
        </w:rPr>
        <w:fldChar w:fldCharType="end"/>
      </w:r>
      <w:r>
        <w:rPr>
          <w:highlight w:val="none"/>
        </w:rPr>
        <w:fldChar w:fldCharType="end"/>
      </w:r>
    </w:p>
    <w:p w14:paraId="3B9077C7">
      <w:pPr>
        <w:pStyle w:val="23"/>
        <w:tabs>
          <w:tab w:val="right" w:leader="dot" w:pos="8306"/>
        </w:tabs>
        <w:ind w:left="420"/>
        <w:rPr>
          <w:highlight w:val="none"/>
        </w:rPr>
      </w:pPr>
      <w:r>
        <w:rPr>
          <w:highlight w:val="none"/>
        </w:rPr>
        <w:fldChar w:fldCharType="begin"/>
      </w:r>
      <w:r>
        <w:rPr>
          <w:highlight w:val="none"/>
        </w:rPr>
        <w:instrText xml:space="preserve"> HYPERLINK \l "_Toc20988" </w:instrText>
      </w:r>
      <w:r>
        <w:rPr>
          <w:highlight w:val="none"/>
        </w:rPr>
        <w:fldChar w:fldCharType="separate"/>
      </w:r>
      <w:r>
        <w:rPr>
          <w:rFonts w:hint="eastAsia"/>
          <w:highlight w:val="none"/>
        </w:rPr>
        <w:t>六、商务部分证明材料</w:t>
      </w:r>
      <w:r>
        <w:rPr>
          <w:highlight w:val="none"/>
        </w:rPr>
        <w:tab/>
      </w:r>
      <w:r>
        <w:rPr>
          <w:highlight w:val="none"/>
        </w:rPr>
        <w:fldChar w:fldCharType="begin"/>
      </w:r>
      <w:r>
        <w:rPr>
          <w:highlight w:val="none"/>
        </w:rPr>
        <w:instrText xml:space="preserve"> PAGEREF _Toc20988 \h </w:instrText>
      </w:r>
      <w:r>
        <w:rPr>
          <w:highlight w:val="none"/>
        </w:rPr>
        <w:fldChar w:fldCharType="separate"/>
      </w:r>
      <w:r>
        <w:rPr>
          <w:highlight w:val="none"/>
        </w:rPr>
        <w:t>53</w:t>
      </w:r>
      <w:r>
        <w:rPr>
          <w:highlight w:val="none"/>
        </w:rPr>
        <w:fldChar w:fldCharType="end"/>
      </w:r>
      <w:r>
        <w:rPr>
          <w:highlight w:val="none"/>
        </w:rPr>
        <w:fldChar w:fldCharType="end"/>
      </w:r>
    </w:p>
    <w:p w14:paraId="42B461BF">
      <w:pPr>
        <w:pStyle w:val="23"/>
        <w:tabs>
          <w:tab w:val="right" w:leader="dot" w:pos="8306"/>
        </w:tabs>
        <w:ind w:left="420"/>
        <w:rPr>
          <w:highlight w:val="none"/>
        </w:rPr>
      </w:pPr>
      <w:r>
        <w:rPr>
          <w:highlight w:val="none"/>
        </w:rPr>
        <w:fldChar w:fldCharType="begin"/>
      </w:r>
      <w:r>
        <w:rPr>
          <w:highlight w:val="none"/>
        </w:rPr>
        <w:instrText xml:space="preserve"> HYPERLINK \l "_Toc27632" </w:instrText>
      </w:r>
      <w:r>
        <w:rPr>
          <w:highlight w:val="none"/>
        </w:rPr>
        <w:fldChar w:fldCharType="separate"/>
      </w:r>
      <w:r>
        <w:rPr>
          <w:rFonts w:hint="eastAsia"/>
          <w:highlight w:val="none"/>
        </w:rPr>
        <w:t>七、技术服务方案</w:t>
      </w:r>
      <w:r>
        <w:rPr>
          <w:highlight w:val="none"/>
        </w:rPr>
        <w:tab/>
      </w:r>
      <w:r>
        <w:rPr>
          <w:highlight w:val="none"/>
        </w:rPr>
        <w:fldChar w:fldCharType="begin"/>
      </w:r>
      <w:r>
        <w:rPr>
          <w:highlight w:val="none"/>
        </w:rPr>
        <w:instrText xml:space="preserve"> PAGEREF _Toc27632 \h </w:instrText>
      </w:r>
      <w:r>
        <w:rPr>
          <w:highlight w:val="none"/>
        </w:rPr>
        <w:fldChar w:fldCharType="separate"/>
      </w:r>
      <w:r>
        <w:rPr>
          <w:highlight w:val="none"/>
        </w:rPr>
        <w:t>54</w:t>
      </w:r>
      <w:r>
        <w:rPr>
          <w:highlight w:val="none"/>
        </w:rPr>
        <w:fldChar w:fldCharType="end"/>
      </w:r>
      <w:r>
        <w:rPr>
          <w:highlight w:val="none"/>
        </w:rPr>
        <w:fldChar w:fldCharType="end"/>
      </w:r>
    </w:p>
    <w:p w14:paraId="6D26DE8B">
      <w:pPr>
        <w:pStyle w:val="23"/>
        <w:tabs>
          <w:tab w:val="right" w:leader="dot" w:pos="8306"/>
        </w:tabs>
        <w:ind w:left="420"/>
        <w:rPr>
          <w:highlight w:val="none"/>
        </w:rPr>
      </w:pPr>
      <w:r>
        <w:rPr>
          <w:highlight w:val="none"/>
        </w:rPr>
        <w:fldChar w:fldCharType="begin"/>
      </w:r>
      <w:r>
        <w:rPr>
          <w:highlight w:val="none"/>
        </w:rPr>
        <w:instrText xml:space="preserve"> HYPERLINK \l "_Toc31741" </w:instrText>
      </w:r>
      <w:r>
        <w:rPr>
          <w:highlight w:val="none"/>
        </w:rPr>
        <w:fldChar w:fldCharType="separate"/>
      </w:r>
      <w:r>
        <w:rPr>
          <w:rFonts w:hint="eastAsia"/>
          <w:highlight w:val="none"/>
        </w:rPr>
        <w:t>八、其他资料</w:t>
      </w:r>
      <w:r>
        <w:rPr>
          <w:highlight w:val="none"/>
        </w:rPr>
        <w:tab/>
      </w:r>
      <w:r>
        <w:rPr>
          <w:highlight w:val="none"/>
        </w:rPr>
        <w:fldChar w:fldCharType="begin"/>
      </w:r>
      <w:r>
        <w:rPr>
          <w:highlight w:val="none"/>
        </w:rPr>
        <w:instrText xml:space="preserve"> PAGEREF _Toc31741 \h </w:instrText>
      </w:r>
      <w:r>
        <w:rPr>
          <w:highlight w:val="none"/>
        </w:rPr>
        <w:fldChar w:fldCharType="separate"/>
      </w:r>
      <w:r>
        <w:rPr>
          <w:highlight w:val="none"/>
        </w:rPr>
        <w:t>55</w:t>
      </w:r>
      <w:r>
        <w:rPr>
          <w:highlight w:val="none"/>
        </w:rPr>
        <w:fldChar w:fldCharType="end"/>
      </w:r>
      <w:r>
        <w:rPr>
          <w:highlight w:val="none"/>
        </w:rPr>
        <w:fldChar w:fldCharType="end"/>
      </w:r>
    </w:p>
    <w:p w14:paraId="00208A65">
      <w:pPr>
        <w:rPr>
          <w:rFonts w:ascii="宋体" w:hAnsi="宋体" w:eastAsia="宋体"/>
          <w:highlight w:val="none"/>
        </w:rPr>
        <w:sectPr>
          <w:footerReference r:id="rId3" w:type="default"/>
          <w:pgSz w:w="11906" w:h="16838"/>
          <w:pgMar w:top="1440" w:right="1800" w:bottom="1440" w:left="1800" w:header="720" w:footer="720" w:gutter="0"/>
          <w:pgNumType w:start="1"/>
          <w:cols w:space="720" w:num="1"/>
          <w:docGrid w:linePitch="285" w:charSpace="0"/>
        </w:sectPr>
      </w:pPr>
      <w:r>
        <w:rPr>
          <w:rFonts w:hint="eastAsia" w:ascii="宋体" w:hAnsi="宋体" w:eastAsia="宋体"/>
          <w:szCs w:val="21"/>
          <w:highlight w:val="none"/>
        </w:rPr>
        <w:fldChar w:fldCharType="end"/>
      </w:r>
    </w:p>
    <w:p w14:paraId="7B41BD63">
      <w:pPr>
        <w:pStyle w:val="2"/>
        <w:rPr>
          <w:color w:val="auto"/>
          <w:highlight w:val="none"/>
        </w:rPr>
      </w:pPr>
      <w:bookmarkStart w:id="1" w:name="_Toc10859"/>
      <w:r>
        <w:rPr>
          <w:rFonts w:hint="eastAsia"/>
          <w:color w:val="auto"/>
          <w:highlight w:val="none"/>
        </w:rPr>
        <w:t>第一章</w:t>
      </w:r>
      <w:r>
        <w:rPr>
          <w:color w:val="auto"/>
          <w:highlight w:val="none"/>
        </w:rPr>
        <w:t xml:space="preserve"> </w:t>
      </w:r>
      <w:r>
        <w:rPr>
          <w:rFonts w:hint="eastAsia"/>
          <w:color w:val="auto"/>
          <w:highlight w:val="none"/>
        </w:rPr>
        <w:t>招标公告</w:t>
      </w:r>
      <w:bookmarkEnd w:id="1"/>
    </w:p>
    <w:p w14:paraId="437712ED">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另册</w:t>
      </w:r>
    </w:p>
    <w:p w14:paraId="671001C0">
      <w:pPr>
        <w:spacing w:line="360" w:lineRule="auto"/>
        <w:jc w:val="center"/>
        <w:rPr>
          <w:rFonts w:ascii="宋体" w:hAnsi="宋体" w:eastAsia="宋体"/>
          <w:sz w:val="24"/>
          <w:szCs w:val="24"/>
          <w:highlight w:val="none"/>
        </w:rPr>
      </w:pPr>
    </w:p>
    <w:p w14:paraId="69F57F6D">
      <w:pPr>
        <w:pStyle w:val="2"/>
        <w:rPr>
          <w:color w:val="auto"/>
          <w:highlight w:val="none"/>
        </w:rPr>
      </w:pPr>
      <w:bookmarkStart w:id="2" w:name="_Toc32651"/>
      <w:r>
        <w:rPr>
          <w:rFonts w:hint="eastAsia"/>
          <w:color w:val="auto"/>
          <w:highlight w:val="none"/>
        </w:rPr>
        <w:t>第二章</w:t>
      </w:r>
      <w:r>
        <w:rPr>
          <w:color w:val="auto"/>
          <w:highlight w:val="none"/>
        </w:rPr>
        <w:t xml:space="preserve"> </w:t>
      </w:r>
      <w:r>
        <w:rPr>
          <w:rFonts w:hint="eastAsia"/>
          <w:color w:val="auto"/>
          <w:highlight w:val="none"/>
        </w:rPr>
        <w:t>投标人须知</w:t>
      </w:r>
      <w:bookmarkEnd w:id="2"/>
    </w:p>
    <w:p w14:paraId="0E1FB1AF">
      <w:pPr>
        <w:pStyle w:val="3"/>
        <w:jc w:val="center"/>
        <w:rPr>
          <w:color w:val="auto"/>
          <w:highlight w:val="none"/>
        </w:rPr>
      </w:pPr>
      <w:bookmarkStart w:id="3" w:name="_Toc23396"/>
      <w:r>
        <w:rPr>
          <w:rFonts w:hint="eastAsia"/>
          <w:color w:val="auto"/>
          <w:highlight w:val="none"/>
        </w:rPr>
        <w:t>投标人须知前附表</w:t>
      </w:r>
      <w:bookmarkEnd w:id="3"/>
    </w:p>
    <w:tbl>
      <w:tblPr>
        <w:tblStyle w:val="28"/>
        <w:tblW w:w="9954" w:type="dxa"/>
        <w:tblInd w:w="-20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5"/>
        <w:gridCol w:w="2100"/>
        <w:gridCol w:w="6909"/>
      </w:tblGrid>
      <w:tr w14:paraId="71DBBB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945" w:type="dxa"/>
            <w:vAlign w:val="center"/>
          </w:tcPr>
          <w:p w14:paraId="142EA2A9">
            <w:pPr>
              <w:snapToGrid w:val="0"/>
              <w:spacing w:line="276" w:lineRule="auto"/>
              <w:jc w:val="center"/>
              <w:rPr>
                <w:rFonts w:ascii="宋体" w:hAnsi="宋体" w:eastAsia="宋体"/>
                <w:b/>
                <w:szCs w:val="21"/>
                <w:highlight w:val="none"/>
              </w:rPr>
            </w:pPr>
            <w:r>
              <w:rPr>
                <w:rFonts w:hint="eastAsia" w:ascii="宋体" w:hAnsi="宋体" w:eastAsia="宋体"/>
                <w:b/>
                <w:szCs w:val="21"/>
                <w:highlight w:val="none"/>
              </w:rPr>
              <w:t>条款号</w:t>
            </w:r>
          </w:p>
        </w:tc>
        <w:tc>
          <w:tcPr>
            <w:tcW w:w="2100" w:type="dxa"/>
            <w:vAlign w:val="center"/>
          </w:tcPr>
          <w:p w14:paraId="3E786EDE">
            <w:pPr>
              <w:snapToGrid w:val="0"/>
              <w:spacing w:line="276" w:lineRule="auto"/>
              <w:jc w:val="center"/>
              <w:rPr>
                <w:rFonts w:ascii="宋体" w:hAnsi="宋体" w:eastAsia="宋体"/>
                <w:b/>
                <w:szCs w:val="21"/>
                <w:highlight w:val="none"/>
              </w:rPr>
            </w:pPr>
            <w:r>
              <w:rPr>
                <w:rFonts w:hint="eastAsia" w:ascii="宋体" w:hAnsi="宋体" w:eastAsia="宋体"/>
                <w:b/>
                <w:szCs w:val="21"/>
                <w:highlight w:val="none"/>
              </w:rPr>
              <w:t>条款名称</w:t>
            </w:r>
          </w:p>
        </w:tc>
        <w:tc>
          <w:tcPr>
            <w:tcW w:w="6909" w:type="dxa"/>
            <w:vAlign w:val="center"/>
          </w:tcPr>
          <w:p w14:paraId="0DD5667D">
            <w:pPr>
              <w:snapToGrid w:val="0"/>
              <w:spacing w:line="276" w:lineRule="auto"/>
              <w:jc w:val="center"/>
              <w:rPr>
                <w:rFonts w:ascii="宋体" w:hAnsi="宋体" w:eastAsia="宋体"/>
                <w:b/>
                <w:szCs w:val="21"/>
                <w:highlight w:val="none"/>
              </w:rPr>
            </w:pPr>
            <w:r>
              <w:rPr>
                <w:rFonts w:hint="eastAsia" w:ascii="宋体" w:hAnsi="宋体" w:eastAsia="宋体"/>
                <w:b/>
                <w:szCs w:val="21"/>
                <w:highlight w:val="none"/>
              </w:rPr>
              <w:t>编列内容</w:t>
            </w:r>
          </w:p>
        </w:tc>
      </w:tr>
      <w:tr w14:paraId="3FAEF7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2" w:hRule="atLeast"/>
        </w:trPr>
        <w:tc>
          <w:tcPr>
            <w:tcW w:w="945" w:type="dxa"/>
            <w:vAlign w:val="center"/>
          </w:tcPr>
          <w:p w14:paraId="746E4EFD">
            <w:pPr>
              <w:snapToGrid w:val="0"/>
              <w:spacing w:line="276" w:lineRule="auto"/>
              <w:jc w:val="center"/>
              <w:rPr>
                <w:rFonts w:ascii="宋体" w:hAnsi="宋体" w:eastAsia="宋体"/>
                <w:szCs w:val="21"/>
                <w:highlight w:val="none"/>
              </w:rPr>
            </w:pPr>
            <w:r>
              <w:rPr>
                <w:rFonts w:ascii="宋体" w:hAnsi="宋体" w:eastAsia="宋体"/>
                <w:szCs w:val="21"/>
                <w:highlight w:val="none"/>
              </w:rPr>
              <w:t>1.1.2</w:t>
            </w:r>
          </w:p>
        </w:tc>
        <w:tc>
          <w:tcPr>
            <w:tcW w:w="2100" w:type="dxa"/>
            <w:vAlign w:val="center"/>
          </w:tcPr>
          <w:p w14:paraId="7D2F5FF8">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招标人</w:t>
            </w:r>
          </w:p>
        </w:tc>
        <w:tc>
          <w:tcPr>
            <w:tcW w:w="6909" w:type="dxa"/>
            <w:vAlign w:val="center"/>
          </w:tcPr>
          <w:p w14:paraId="3AA30C71">
            <w:pPr>
              <w:snapToGrid w:val="0"/>
              <w:spacing w:line="276" w:lineRule="auto"/>
              <w:ind w:left="630" w:hanging="630" w:hangingChars="300"/>
              <w:rPr>
                <w:rFonts w:ascii="宋体" w:hAnsi="宋体" w:eastAsia="宋体"/>
                <w:szCs w:val="21"/>
                <w:highlight w:val="none"/>
              </w:rPr>
            </w:pPr>
            <w:r>
              <w:rPr>
                <w:rFonts w:hint="eastAsia" w:ascii="宋体" w:hAnsi="宋体" w:eastAsia="宋体"/>
                <w:szCs w:val="21"/>
                <w:highlight w:val="none"/>
              </w:rPr>
              <w:t>名称：</w:t>
            </w:r>
            <w:r>
              <w:rPr>
                <w:rFonts w:hint="eastAsia" w:ascii="宋体" w:hAnsi="宋体" w:eastAsia="宋体"/>
                <w:szCs w:val="21"/>
                <w:highlight w:val="none"/>
                <w:u w:val="single"/>
                <w:lang w:val="zh-CN"/>
              </w:rPr>
              <w:t>广州开城联晟城市开发投资有限公司</w:t>
            </w:r>
          </w:p>
          <w:p w14:paraId="331D5D80">
            <w:pPr>
              <w:snapToGrid w:val="0"/>
              <w:spacing w:line="276" w:lineRule="auto"/>
              <w:ind w:left="630" w:hanging="630" w:hangingChars="300"/>
              <w:rPr>
                <w:rFonts w:ascii="宋体" w:hAnsi="宋体" w:eastAsia="宋体"/>
                <w:szCs w:val="21"/>
                <w:highlight w:val="none"/>
              </w:rPr>
            </w:pPr>
            <w:r>
              <w:rPr>
                <w:rFonts w:hint="eastAsia" w:ascii="宋体" w:hAnsi="宋体" w:eastAsia="宋体"/>
                <w:szCs w:val="21"/>
                <w:highlight w:val="none"/>
              </w:rPr>
              <w:t>地址：</w:t>
            </w:r>
            <w:r>
              <w:rPr>
                <w:rFonts w:hint="eastAsia" w:ascii="宋体" w:hAnsi="宋体" w:eastAsia="宋体"/>
                <w:szCs w:val="21"/>
                <w:highlight w:val="none"/>
                <w:u w:val="single"/>
              </w:rPr>
              <w:t xml:space="preserve"> 广州市黄埔区萝岗街开投润盈中心1号楼13楼</w:t>
            </w:r>
          </w:p>
          <w:p w14:paraId="406BB04F">
            <w:pPr>
              <w:snapToGrid w:val="0"/>
              <w:spacing w:line="276" w:lineRule="auto"/>
              <w:ind w:left="630" w:hanging="630" w:hangingChars="300"/>
              <w:rPr>
                <w:rFonts w:ascii="宋体" w:hAnsi="宋体" w:eastAsia="宋体"/>
                <w:szCs w:val="21"/>
                <w:highlight w:val="none"/>
              </w:rPr>
            </w:pPr>
            <w:r>
              <w:rPr>
                <w:rFonts w:hint="eastAsia" w:ascii="宋体" w:hAnsi="宋体" w:eastAsia="宋体"/>
                <w:szCs w:val="21"/>
                <w:highlight w:val="none"/>
              </w:rPr>
              <w:t>联系人：</w:t>
            </w:r>
            <w:r>
              <w:rPr>
                <w:rFonts w:hint="eastAsia" w:ascii="宋体" w:hAnsi="宋体" w:eastAsia="宋体"/>
                <w:szCs w:val="21"/>
                <w:highlight w:val="none"/>
                <w:u w:val="single"/>
              </w:rPr>
              <w:t>王工</w:t>
            </w:r>
          </w:p>
          <w:p w14:paraId="5799A402">
            <w:pPr>
              <w:spacing w:line="360" w:lineRule="auto"/>
              <w:rPr>
                <w:rFonts w:ascii="宋体" w:hAnsi="宋体" w:eastAsia="宋体" w:cs="宋体"/>
                <w:sz w:val="24"/>
                <w:szCs w:val="24"/>
                <w:highlight w:val="none"/>
              </w:rPr>
            </w:pPr>
            <w:r>
              <w:rPr>
                <w:rFonts w:hint="eastAsia" w:ascii="宋体" w:hAnsi="宋体" w:eastAsia="宋体"/>
                <w:szCs w:val="21"/>
                <w:highlight w:val="none"/>
              </w:rPr>
              <w:t>联系电话：</w:t>
            </w:r>
            <w:r>
              <w:rPr>
                <w:rFonts w:hint="eastAsia" w:ascii="宋体" w:hAnsi="宋体" w:eastAsia="宋体"/>
                <w:szCs w:val="21"/>
                <w:highlight w:val="none"/>
                <w:u w:val="single"/>
                <w:lang w:val="zh-CN"/>
              </w:rPr>
              <w:t xml:space="preserve">020-82109254    </w:t>
            </w:r>
          </w:p>
        </w:tc>
      </w:tr>
      <w:tr w14:paraId="7CB2BD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3" w:hRule="atLeast"/>
        </w:trPr>
        <w:tc>
          <w:tcPr>
            <w:tcW w:w="945" w:type="dxa"/>
            <w:vAlign w:val="center"/>
          </w:tcPr>
          <w:p w14:paraId="215F0A3B">
            <w:pPr>
              <w:snapToGrid w:val="0"/>
              <w:spacing w:line="276" w:lineRule="auto"/>
              <w:jc w:val="center"/>
              <w:rPr>
                <w:rFonts w:ascii="宋体" w:hAnsi="宋体" w:eastAsia="宋体"/>
                <w:szCs w:val="21"/>
                <w:highlight w:val="none"/>
              </w:rPr>
            </w:pPr>
            <w:r>
              <w:rPr>
                <w:rFonts w:ascii="宋体" w:hAnsi="宋体" w:eastAsia="宋体"/>
                <w:szCs w:val="21"/>
                <w:highlight w:val="none"/>
              </w:rPr>
              <w:t>1.1.3</w:t>
            </w:r>
          </w:p>
        </w:tc>
        <w:tc>
          <w:tcPr>
            <w:tcW w:w="2100" w:type="dxa"/>
            <w:vAlign w:val="center"/>
          </w:tcPr>
          <w:p w14:paraId="031EA6EB">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招标代理机构</w:t>
            </w:r>
          </w:p>
        </w:tc>
        <w:tc>
          <w:tcPr>
            <w:tcW w:w="6909" w:type="dxa"/>
            <w:vAlign w:val="center"/>
          </w:tcPr>
          <w:p w14:paraId="4162D7B2">
            <w:pPr>
              <w:snapToGrid w:val="0"/>
              <w:spacing w:line="276" w:lineRule="auto"/>
              <w:rPr>
                <w:rFonts w:ascii="宋体" w:hAnsi="宋体" w:eastAsia="宋体"/>
                <w:szCs w:val="21"/>
                <w:highlight w:val="none"/>
              </w:rPr>
            </w:pPr>
            <w:r>
              <w:rPr>
                <w:rFonts w:hint="eastAsia" w:ascii="宋体" w:hAnsi="宋体" w:eastAsia="宋体"/>
                <w:szCs w:val="21"/>
                <w:highlight w:val="none"/>
              </w:rPr>
              <w:t>名称：</w:t>
            </w:r>
            <w:r>
              <w:rPr>
                <w:rFonts w:hint="eastAsia" w:ascii="宋体" w:hAnsi="宋体" w:eastAsia="宋体"/>
                <w:szCs w:val="21"/>
                <w:highlight w:val="none"/>
                <w:u w:val="single"/>
                <w:lang w:val="zh-CN"/>
              </w:rPr>
              <w:t>广州建筑工程监理有限公司</w:t>
            </w:r>
          </w:p>
          <w:p w14:paraId="37C1FEB3">
            <w:pPr>
              <w:snapToGrid w:val="0"/>
              <w:spacing w:line="276" w:lineRule="auto"/>
              <w:rPr>
                <w:rFonts w:ascii="宋体" w:hAnsi="宋体" w:eastAsia="宋体"/>
                <w:szCs w:val="21"/>
                <w:highlight w:val="none"/>
              </w:rPr>
            </w:pPr>
            <w:r>
              <w:rPr>
                <w:rFonts w:hint="eastAsia" w:ascii="宋体" w:hAnsi="宋体" w:eastAsia="宋体"/>
                <w:szCs w:val="21"/>
                <w:highlight w:val="none"/>
              </w:rPr>
              <w:t>地址：</w:t>
            </w:r>
            <w:r>
              <w:rPr>
                <w:rFonts w:hint="eastAsia" w:ascii="宋体" w:hAnsi="宋体" w:eastAsia="宋体"/>
                <w:szCs w:val="21"/>
                <w:highlight w:val="none"/>
                <w:u w:val="single"/>
                <w:lang w:val="zh-CN"/>
              </w:rPr>
              <w:t>广州市广卫路</w:t>
            </w:r>
            <w:r>
              <w:rPr>
                <w:rFonts w:ascii="宋体" w:hAnsi="宋体" w:eastAsia="宋体"/>
                <w:szCs w:val="21"/>
                <w:highlight w:val="none"/>
                <w:u w:val="single"/>
                <w:lang w:val="zh-CN"/>
              </w:rPr>
              <w:t>4号18楼代理部</w:t>
            </w:r>
          </w:p>
          <w:p w14:paraId="0A2B90AB">
            <w:pPr>
              <w:snapToGrid w:val="0"/>
              <w:spacing w:line="276" w:lineRule="auto"/>
              <w:rPr>
                <w:rFonts w:ascii="宋体" w:hAnsi="宋体" w:eastAsia="宋体"/>
                <w:szCs w:val="21"/>
                <w:highlight w:val="none"/>
                <w:lang w:val="zh-CN"/>
              </w:rPr>
            </w:pPr>
            <w:r>
              <w:rPr>
                <w:rFonts w:hint="eastAsia" w:ascii="宋体" w:hAnsi="宋体" w:eastAsia="宋体"/>
                <w:szCs w:val="21"/>
                <w:highlight w:val="none"/>
              </w:rPr>
              <w:t>联</w:t>
            </w:r>
            <w:r>
              <w:rPr>
                <w:rFonts w:hint="eastAsia" w:ascii="宋体" w:hAnsi="宋体" w:eastAsia="宋体"/>
                <w:szCs w:val="21"/>
                <w:highlight w:val="none"/>
                <w:lang w:val="zh-CN"/>
              </w:rPr>
              <w:t>系人：</w:t>
            </w:r>
            <w:r>
              <w:rPr>
                <w:rFonts w:hint="eastAsia" w:ascii="宋体" w:hAnsi="宋体" w:eastAsia="宋体"/>
                <w:szCs w:val="21"/>
                <w:highlight w:val="none"/>
                <w:u w:val="single"/>
                <w:lang w:val="zh-CN"/>
              </w:rPr>
              <w:t>甘工</w:t>
            </w:r>
          </w:p>
          <w:p w14:paraId="2111AF90">
            <w:pPr>
              <w:snapToGrid w:val="0"/>
              <w:spacing w:line="276" w:lineRule="auto"/>
              <w:rPr>
                <w:rFonts w:ascii="宋体" w:hAnsi="宋体" w:eastAsia="宋体"/>
                <w:szCs w:val="21"/>
                <w:highlight w:val="none"/>
              </w:rPr>
            </w:pPr>
            <w:r>
              <w:rPr>
                <w:rFonts w:hint="eastAsia" w:ascii="宋体" w:hAnsi="宋体" w:eastAsia="宋体"/>
                <w:szCs w:val="21"/>
                <w:highlight w:val="none"/>
                <w:lang w:val="zh-CN"/>
              </w:rPr>
              <w:t>电话：</w:t>
            </w:r>
            <w:r>
              <w:rPr>
                <w:rFonts w:ascii="宋体" w:hAnsi="宋体" w:eastAsia="宋体"/>
                <w:szCs w:val="21"/>
                <w:highlight w:val="none"/>
                <w:u w:val="single"/>
                <w:lang w:val="zh-CN"/>
              </w:rPr>
              <w:t>020-61101333-1867</w:t>
            </w:r>
          </w:p>
        </w:tc>
      </w:tr>
      <w:tr w14:paraId="20AEF3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2CC340D1">
            <w:pPr>
              <w:snapToGrid w:val="0"/>
              <w:spacing w:line="276" w:lineRule="auto"/>
              <w:jc w:val="center"/>
              <w:rPr>
                <w:rFonts w:ascii="宋体" w:hAnsi="宋体" w:eastAsia="宋体"/>
                <w:szCs w:val="21"/>
                <w:highlight w:val="none"/>
              </w:rPr>
            </w:pPr>
            <w:r>
              <w:rPr>
                <w:rFonts w:ascii="宋体" w:hAnsi="宋体" w:eastAsia="宋体"/>
                <w:szCs w:val="21"/>
                <w:highlight w:val="none"/>
              </w:rPr>
              <w:t>1.1.4</w:t>
            </w:r>
          </w:p>
        </w:tc>
        <w:tc>
          <w:tcPr>
            <w:tcW w:w="2100" w:type="dxa"/>
            <w:vAlign w:val="center"/>
          </w:tcPr>
          <w:p w14:paraId="6D1292FC">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招标项目名称</w:t>
            </w:r>
          </w:p>
        </w:tc>
        <w:tc>
          <w:tcPr>
            <w:tcW w:w="6909" w:type="dxa"/>
            <w:vAlign w:val="center"/>
          </w:tcPr>
          <w:p w14:paraId="2C075A6C">
            <w:pPr>
              <w:snapToGrid w:val="0"/>
              <w:spacing w:line="276" w:lineRule="auto"/>
              <w:jc w:val="left"/>
              <w:rPr>
                <w:rFonts w:ascii="宋体" w:hAnsi="宋体" w:eastAsia="宋体"/>
                <w:szCs w:val="21"/>
                <w:highlight w:val="none"/>
              </w:rPr>
            </w:pPr>
            <w:r>
              <w:rPr>
                <w:rFonts w:hint="eastAsia" w:ascii="宋体" w:hAnsi="宋体" w:eastAsia="宋体"/>
                <w:szCs w:val="21"/>
                <w:highlight w:val="none"/>
              </w:rPr>
              <w:t>广州市黄埔区云埔街火村社区莲潭经济合作社城中村改造项目（南湾村）改造方案与实施计划编制服务</w:t>
            </w:r>
          </w:p>
        </w:tc>
      </w:tr>
      <w:tr w14:paraId="74BE66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45" w:type="dxa"/>
            <w:vAlign w:val="center"/>
          </w:tcPr>
          <w:p w14:paraId="4AD95EF5">
            <w:pPr>
              <w:snapToGrid w:val="0"/>
              <w:spacing w:line="276" w:lineRule="auto"/>
              <w:jc w:val="center"/>
              <w:rPr>
                <w:rFonts w:ascii="宋体" w:hAnsi="宋体" w:eastAsia="宋体"/>
                <w:szCs w:val="21"/>
                <w:highlight w:val="none"/>
              </w:rPr>
            </w:pPr>
            <w:r>
              <w:rPr>
                <w:rFonts w:ascii="宋体" w:hAnsi="宋体" w:eastAsia="宋体"/>
                <w:szCs w:val="21"/>
                <w:highlight w:val="none"/>
              </w:rPr>
              <w:t>1.1.5</w:t>
            </w:r>
          </w:p>
        </w:tc>
        <w:tc>
          <w:tcPr>
            <w:tcW w:w="2100" w:type="dxa"/>
            <w:vAlign w:val="center"/>
          </w:tcPr>
          <w:p w14:paraId="016322F0">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项目地点</w:t>
            </w:r>
          </w:p>
        </w:tc>
        <w:tc>
          <w:tcPr>
            <w:tcW w:w="6909" w:type="dxa"/>
            <w:vAlign w:val="center"/>
          </w:tcPr>
          <w:p w14:paraId="1EB81473">
            <w:pPr>
              <w:snapToGrid w:val="0"/>
              <w:spacing w:line="276" w:lineRule="auto"/>
              <w:jc w:val="left"/>
              <w:rPr>
                <w:rFonts w:ascii="宋体" w:hAnsi="宋体" w:eastAsia="宋体"/>
                <w:szCs w:val="21"/>
                <w:highlight w:val="none"/>
              </w:rPr>
            </w:pPr>
            <w:r>
              <w:rPr>
                <w:rFonts w:hint="eastAsia" w:ascii="宋体" w:hAnsi="宋体" w:eastAsia="宋体"/>
                <w:szCs w:val="21"/>
                <w:highlight w:val="none"/>
              </w:rPr>
              <w:t>详见招标公告</w:t>
            </w:r>
          </w:p>
        </w:tc>
      </w:tr>
      <w:tr w14:paraId="19F8E7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14:paraId="575C6537">
            <w:pPr>
              <w:snapToGrid w:val="0"/>
              <w:spacing w:line="276" w:lineRule="auto"/>
              <w:jc w:val="center"/>
              <w:rPr>
                <w:rFonts w:ascii="宋体" w:hAnsi="宋体" w:eastAsia="宋体"/>
                <w:szCs w:val="21"/>
                <w:highlight w:val="none"/>
              </w:rPr>
            </w:pPr>
            <w:r>
              <w:rPr>
                <w:rFonts w:ascii="宋体" w:hAnsi="宋体" w:eastAsia="宋体"/>
                <w:szCs w:val="21"/>
                <w:highlight w:val="none"/>
              </w:rPr>
              <w:t>1.1.6</w:t>
            </w:r>
          </w:p>
        </w:tc>
        <w:tc>
          <w:tcPr>
            <w:tcW w:w="2100" w:type="dxa"/>
            <w:vAlign w:val="center"/>
          </w:tcPr>
          <w:p w14:paraId="0D13BEB8">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项目规模</w:t>
            </w:r>
          </w:p>
        </w:tc>
        <w:tc>
          <w:tcPr>
            <w:tcW w:w="6909" w:type="dxa"/>
          </w:tcPr>
          <w:p w14:paraId="5FFA41F3">
            <w:pPr>
              <w:snapToGrid w:val="0"/>
              <w:spacing w:line="276" w:lineRule="auto"/>
              <w:jc w:val="left"/>
              <w:rPr>
                <w:rFonts w:ascii="宋体" w:hAnsi="宋体" w:eastAsia="宋体"/>
                <w:szCs w:val="21"/>
                <w:highlight w:val="none"/>
              </w:rPr>
            </w:pPr>
            <w:r>
              <w:rPr>
                <w:rFonts w:hint="eastAsia" w:ascii="宋体" w:hAnsi="宋体" w:eastAsia="宋体"/>
                <w:szCs w:val="21"/>
                <w:highlight w:val="none"/>
              </w:rPr>
              <w:t>详见招标公告</w:t>
            </w:r>
          </w:p>
        </w:tc>
      </w:tr>
      <w:tr w14:paraId="284E4C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14:paraId="6FB8B4BC">
            <w:pPr>
              <w:snapToGrid w:val="0"/>
              <w:spacing w:line="276" w:lineRule="auto"/>
              <w:jc w:val="center"/>
              <w:rPr>
                <w:rFonts w:ascii="宋体" w:hAnsi="宋体" w:eastAsia="宋体"/>
                <w:szCs w:val="21"/>
                <w:highlight w:val="none"/>
              </w:rPr>
            </w:pPr>
            <w:r>
              <w:rPr>
                <w:rFonts w:ascii="宋体" w:hAnsi="宋体" w:eastAsia="宋体"/>
                <w:szCs w:val="21"/>
                <w:highlight w:val="none"/>
              </w:rPr>
              <w:t>1.2.1</w:t>
            </w:r>
          </w:p>
        </w:tc>
        <w:tc>
          <w:tcPr>
            <w:tcW w:w="2100" w:type="dxa"/>
            <w:vAlign w:val="center"/>
          </w:tcPr>
          <w:p w14:paraId="4FB3D40E">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资金来源及比例</w:t>
            </w:r>
          </w:p>
        </w:tc>
        <w:tc>
          <w:tcPr>
            <w:tcW w:w="6909" w:type="dxa"/>
            <w:vAlign w:val="center"/>
          </w:tcPr>
          <w:p w14:paraId="1FB52458">
            <w:pPr>
              <w:snapToGrid w:val="0"/>
              <w:spacing w:line="276" w:lineRule="auto"/>
              <w:jc w:val="left"/>
              <w:rPr>
                <w:rFonts w:ascii="宋体" w:hAnsi="宋体" w:eastAsia="宋体"/>
                <w:szCs w:val="21"/>
                <w:highlight w:val="none"/>
              </w:rPr>
            </w:pPr>
            <w:r>
              <w:rPr>
                <w:rFonts w:hint="eastAsia" w:ascii="宋体" w:hAnsi="宋体" w:eastAsia="宋体"/>
                <w:szCs w:val="21"/>
                <w:highlight w:val="none"/>
              </w:rPr>
              <w:t>详见招标公告</w:t>
            </w:r>
          </w:p>
        </w:tc>
      </w:tr>
      <w:tr w14:paraId="5E8B55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945" w:type="dxa"/>
            <w:vAlign w:val="center"/>
          </w:tcPr>
          <w:p w14:paraId="37193F5E">
            <w:pPr>
              <w:snapToGrid w:val="0"/>
              <w:spacing w:line="276" w:lineRule="auto"/>
              <w:jc w:val="center"/>
              <w:rPr>
                <w:rFonts w:ascii="宋体" w:hAnsi="宋体" w:eastAsia="宋体"/>
                <w:szCs w:val="21"/>
                <w:highlight w:val="none"/>
              </w:rPr>
            </w:pPr>
            <w:r>
              <w:rPr>
                <w:rFonts w:ascii="宋体" w:hAnsi="宋体" w:eastAsia="宋体"/>
                <w:szCs w:val="21"/>
                <w:highlight w:val="none"/>
              </w:rPr>
              <w:t>1.2.2</w:t>
            </w:r>
          </w:p>
        </w:tc>
        <w:tc>
          <w:tcPr>
            <w:tcW w:w="2100" w:type="dxa"/>
            <w:vAlign w:val="center"/>
          </w:tcPr>
          <w:p w14:paraId="75A6EF4E">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资金落实情况</w:t>
            </w:r>
          </w:p>
        </w:tc>
        <w:tc>
          <w:tcPr>
            <w:tcW w:w="6909" w:type="dxa"/>
            <w:vAlign w:val="center"/>
          </w:tcPr>
          <w:p w14:paraId="70D6681E">
            <w:pPr>
              <w:snapToGrid w:val="0"/>
              <w:spacing w:line="276" w:lineRule="auto"/>
              <w:jc w:val="left"/>
              <w:rPr>
                <w:rFonts w:ascii="宋体" w:hAnsi="宋体" w:eastAsia="宋体"/>
                <w:szCs w:val="21"/>
                <w:highlight w:val="none"/>
              </w:rPr>
            </w:pPr>
            <w:r>
              <w:rPr>
                <w:rFonts w:hint="eastAsia" w:ascii="宋体" w:hAnsi="宋体" w:eastAsia="宋体"/>
                <w:szCs w:val="21"/>
                <w:highlight w:val="none"/>
              </w:rPr>
              <w:t>已落实</w:t>
            </w:r>
          </w:p>
        </w:tc>
      </w:tr>
      <w:tr w14:paraId="3E39A3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945" w:type="dxa"/>
            <w:vAlign w:val="center"/>
          </w:tcPr>
          <w:p w14:paraId="2A1AC65A">
            <w:pPr>
              <w:snapToGrid w:val="0"/>
              <w:spacing w:line="276" w:lineRule="auto"/>
              <w:jc w:val="center"/>
              <w:rPr>
                <w:rFonts w:ascii="宋体" w:hAnsi="宋体" w:eastAsia="宋体"/>
                <w:szCs w:val="21"/>
                <w:highlight w:val="none"/>
              </w:rPr>
            </w:pPr>
            <w:r>
              <w:rPr>
                <w:rFonts w:ascii="宋体" w:hAnsi="宋体" w:eastAsia="宋体"/>
                <w:szCs w:val="21"/>
                <w:highlight w:val="none"/>
              </w:rPr>
              <w:t>1.3.1</w:t>
            </w:r>
          </w:p>
        </w:tc>
        <w:tc>
          <w:tcPr>
            <w:tcW w:w="2100" w:type="dxa"/>
            <w:vAlign w:val="center"/>
          </w:tcPr>
          <w:p w14:paraId="4488F570">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招标范围</w:t>
            </w:r>
          </w:p>
        </w:tc>
        <w:tc>
          <w:tcPr>
            <w:tcW w:w="6909" w:type="dxa"/>
          </w:tcPr>
          <w:p w14:paraId="7C5EE60E">
            <w:pPr>
              <w:snapToGrid w:val="0"/>
              <w:spacing w:line="276" w:lineRule="auto"/>
              <w:jc w:val="left"/>
              <w:rPr>
                <w:rFonts w:ascii="宋体" w:hAnsi="宋体" w:eastAsia="宋体"/>
                <w:szCs w:val="21"/>
                <w:highlight w:val="none"/>
              </w:rPr>
            </w:pPr>
            <w:r>
              <w:rPr>
                <w:rFonts w:hint="eastAsia" w:ascii="宋体" w:hAnsi="宋体" w:eastAsia="宋体"/>
                <w:szCs w:val="21"/>
                <w:highlight w:val="none"/>
              </w:rPr>
              <w:t>详见招标公告</w:t>
            </w:r>
          </w:p>
        </w:tc>
      </w:tr>
      <w:tr w14:paraId="0403E9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945" w:type="dxa"/>
            <w:vAlign w:val="center"/>
          </w:tcPr>
          <w:p w14:paraId="672A959F">
            <w:pPr>
              <w:snapToGrid w:val="0"/>
              <w:spacing w:line="276" w:lineRule="auto"/>
              <w:jc w:val="center"/>
              <w:rPr>
                <w:rFonts w:ascii="宋体" w:hAnsi="宋体" w:eastAsia="宋体"/>
                <w:szCs w:val="21"/>
                <w:highlight w:val="none"/>
              </w:rPr>
            </w:pPr>
            <w:r>
              <w:rPr>
                <w:rFonts w:ascii="宋体" w:hAnsi="宋体" w:eastAsia="宋体"/>
                <w:szCs w:val="21"/>
                <w:highlight w:val="none"/>
              </w:rPr>
              <w:t>1.3.2</w:t>
            </w:r>
          </w:p>
        </w:tc>
        <w:tc>
          <w:tcPr>
            <w:tcW w:w="2100" w:type="dxa"/>
            <w:vAlign w:val="center"/>
          </w:tcPr>
          <w:p w14:paraId="47C2B6FD">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服务期限</w:t>
            </w:r>
          </w:p>
        </w:tc>
        <w:tc>
          <w:tcPr>
            <w:tcW w:w="6909" w:type="dxa"/>
          </w:tcPr>
          <w:p w14:paraId="13231C73">
            <w:pPr>
              <w:snapToGrid w:val="0"/>
              <w:spacing w:line="276" w:lineRule="auto"/>
              <w:jc w:val="left"/>
              <w:rPr>
                <w:rFonts w:ascii="宋体" w:hAnsi="宋体" w:eastAsia="宋体"/>
                <w:szCs w:val="21"/>
                <w:highlight w:val="none"/>
              </w:rPr>
            </w:pPr>
            <w:r>
              <w:rPr>
                <w:rFonts w:hint="eastAsia" w:ascii="宋体" w:hAnsi="宋体" w:eastAsia="宋体"/>
                <w:szCs w:val="21"/>
                <w:highlight w:val="none"/>
              </w:rPr>
              <w:t>详见招标公告</w:t>
            </w:r>
          </w:p>
        </w:tc>
      </w:tr>
      <w:tr w14:paraId="0CC4CF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5" w:type="dxa"/>
            <w:vAlign w:val="center"/>
          </w:tcPr>
          <w:p w14:paraId="4CC515F8">
            <w:pPr>
              <w:snapToGrid w:val="0"/>
              <w:spacing w:line="276" w:lineRule="auto"/>
              <w:jc w:val="center"/>
              <w:rPr>
                <w:rFonts w:ascii="宋体" w:hAnsi="宋体" w:eastAsia="宋体"/>
                <w:szCs w:val="21"/>
                <w:highlight w:val="none"/>
              </w:rPr>
            </w:pPr>
            <w:r>
              <w:rPr>
                <w:rFonts w:ascii="宋体" w:hAnsi="宋体" w:eastAsia="宋体"/>
                <w:szCs w:val="21"/>
                <w:highlight w:val="none"/>
              </w:rPr>
              <w:t>1.3.3</w:t>
            </w:r>
          </w:p>
        </w:tc>
        <w:tc>
          <w:tcPr>
            <w:tcW w:w="2100" w:type="dxa"/>
            <w:vAlign w:val="center"/>
          </w:tcPr>
          <w:p w14:paraId="25B85281">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质量标准</w:t>
            </w:r>
          </w:p>
        </w:tc>
        <w:tc>
          <w:tcPr>
            <w:tcW w:w="6909" w:type="dxa"/>
            <w:vAlign w:val="center"/>
          </w:tcPr>
          <w:p w14:paraId="2EDAC861">
            <w:pPr>
              <w:pStyle w:val="26"/>
              <w:snapToGrid w:val="0"/>
              <w:spacing w:after="0" w:line="276" w:lineRule="auto"/>
              <w:ind w:firstLine="0"/>
              <w:rPr>
                <w:rFonts w:ascii="宋体" w:hAnsi="宋体"/>
                <w:szCs w:val="21"/>
                <w:highlight w:val="none"/>
              </w:rPr>
            </w:pPr>
            <w:r>
              <w:rPr>
                <w:rFonts w:hint="eastAsia" w:ascii="宋体" w:hAnsi="宋体"/>
                <w:szCs w:val="21"/>
                <w:highlight w:val="none"/>
              </w:rPr>
              <w:t>符合国家及省、市有关标准。</w:t>
            </w:r>
          </w:p>
        </w:tc>
      </w:tr>
      <w:tr w14:paraId="441442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945" w:type="dxa"/>
            <w:vAlign w:val="center"/>
          </w:tcPr>
          <w:p w14:paraId="52039E73">
            <w:pPr>
              <w:snapToGrid w:val="0"/>
              <w:spacing w:line="276" w:lineRule="auto"/>
              <w:jc w:val="center"/>
              <w:rPr>
                <w:rFonts w:ascii="宋体" w:hAnsi="宋体" w:eastAsia="宋体"/>
                <w:szCs w:val="21"/>
                <w:highlight w:val="none"/>
              </w:rPr>
            </w:pPr>
            <w:r>
              <w:rPr>
                <w:rFonts w:ascii="宋体" w:hAnsi="宋体" w:eastAsia="宋体"/>
                <w:szCs w:val="21"/>
                <w:highlight w:val="none"/>
              </w:rPr>
              <w:t>1.4.1</w:t>
            </w:r>
          </w:p>
        </w:tc>
        <w:tc>
          <w:tcPr>
            <w:tcW w:w="2100" w:type="dxa"/>
            <w:vAlign w:val="center"/>
          </w:tcPr>
          <w:p w14:paraId="055686A6">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投标人资质条件、能力、信誉</w:t>
            </w:r>
          </w:p>
        </w:tc>
        <w:tc>
          <w:tcPr>
            <w:tcW w:w="6909" w:type="dxa"/>
            <w:vAlign w:val="center"/>
          </w:tcPr>
          <w:p w14:paraId="50535C52">
            <w:pPr>
              <w:snapToGrid w:val="0"/>
              <w:spacing w:line="276" w:lineRule="auto"/>
              <w:ind w:left="212" w:leftChars="1" w:hanging="210" w:hangingChars="1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1）资质要求：</w:t>
            </w:r>
            <w:r>
              <w:rPr>
                <w:rFonts w:hint="eastAsia" w:ascii="宋体" w:hAnsi="宋体" w:eastAsia="宋体"/>
                <w:szCs w:val="21"/>
                <w:highlight w:val="none"/>
                <w:u w:val="single"/>
              </w:rPr>
              <w:t>见招标公告投标人资格要求；</w:t>
            </w:r>
          </w:p>
          <w:p w14:paraId="544773D4">
            <w:pPr>
              <w:snapToGrid w:val="0"/>
              <w:spacing w:line="276" w:lineRule="auto"/>
              <w:ind w:left="212" w:leftChars="1" w:hanging="210" w:hangingChars="100"/>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）其他要求：</w:t>
            </w:r>
            <w:r>
              <w:rPr>
                <w:rFonts w:hint="eastAsia" w:ascii="宋体" w:hAnsi="宋体" w:eastAsia="宋体"/>
                <w:szCs w:val="21"/>
                <w:highlight w:val="none"/>
                <w:u w:val="single"/>
              </w:rPr>
              <w:t>见招标公告投标人资格要求；</w:t>
            </w:r>
          </w:p>
        </w:tc>
      </w:tr>
      <w:tr w14:paraId="6E0FB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5" w:type="dxa"/>
            <w:vAlign w:val="center"/>
          </w:tcPr>
          <w:p w14:paraId="6A94BA06">
            <w:pPr>
              <w:snapToGrid w:val="0"/>
              <w:spacing w:line="276" w:lineRule="auto"/>
              <w:jc w:val="center"/>
              <w:rPr>
                <w:rFonts w:ascii="宋体" w:hAnsi="宋体" w:eastAsia="宋体"/>
                <w:szCs w:val="21"/>
                <w:highlight w:val="none"/>
              </w:rPr>
            </w:pPr>
            <w:r>
              <w:rPr>
                <w:rFonts w:ascii="宋体" w:hAnsi="宋体" w:eastAsia="宋体"/>
                <w:szCs w:val="21"/>
                <w:highlight w:val="none"/>
              </w:rPr>
              <w:t>1.4.2</w:t>
            </w:r>
          </w:p>
        </w:tc>
        <w:tc>
          <w:tcPr>
            <w:tcW w:w="2100" w:type="dxa"/>
            <w:vAlign w:val="center"/>
          </w:tcPr>
          <w:p w14:paraId="60E8625B">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是否接受联合体</w:t>
            </w:r>
          </w:p>
          <w:p w14:paraId="77C37B63">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w:t>
            </w:r>
          </w:p>
        </w:tc>
        <w:tc>
          <w:tcPr>
            <w:tcW w:w="6909" w:type="dxa"/>
            <w:vAlign w:val="center"/>
          </w:tcPr>
          <w:p w14:paraId="08158808">
            <w:pPr>
              <w:topLinePunct/>
              <w:spacing w:line="276" w:lineRule="auto"/>
              <w:rPr>
                <w:rFonts w:ascii="宋体" w:hAnsi="宋体" w:eastAsia="宋体"/>
                <w:szCs w:val="21"/>
                <w:highlight w:val="none"/>
              </w:rPr>
            </w:pPr>
            <w:r>
              <w:rPr>
                <w:rFonts w:ascii="宋体" w:hAnsi="宋体" w:eastAsia="宋体"/>
                <w:szCs w:val="21"/>
                <w:highlight w:val="none"/>
              </w:rPr>
              <w:sym w:font="Wingdings" w:char="00FE"/>
            </w:r>
            <w:r>
              <w:rPr>
                <w:rFonts w:ascii="宋体" w:hAnsi="宋体" w:eastAsia="宋体"/>
                <w:szCs w:val="21"/>
                <w:highlight w:val="none"/>
              </w:rPr>
              <w:t xml:space="preserve"> </w:t>
            </w:r>
            <w:r>
              <w:rPr>
                <w:rFonts w:hint="eastAsia" w:ascii="宋体" w:hAnsi="宋体" w:eastAsia="宋体"/>
                <w:szCs w:val="21"/>
                <w:highlight w:val="none"/>
              </w:rPr>
              <w:t>不接受。</w:t>
            </w:r>
          </w:p>
          <w:p w14:paraId="21C37BA3">
            <w:pPr>
              <w:spacing w:line="276"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 </w:t>
            </w:r>
            <w:r>
              <w:rPr>
                <w:rFonts w:hint="eastAsia" w:ascii="宋体" w:hAnsi="宋体" w:eastAsia="宋体"/>
                <w:szCs w:val="21"/>
                <w:highlight w:val="none"/>
              </w:rPr>
              <w:t>接受。</w:t>
            </w:r>
          </w:p>
        </w:tc>
      </w:tr>
      <w:tr w14:paraId="3FAA32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3992AEE5">
            <w:pPr>
              <w:snapToGrid w:val="0"/>
              <w:spacing w:line="276" w:lineRule="auto"/>
              <w:jc w:val="center"/>
              <w:rPr>
                <w:rFonts w:ascii="宋体" w:hAnsi="宋体" w:eastAsia="宋体"/>
                <w:szCs w:val="21"/>
                <w:highlight w:val="none"/>
              </w:rPr>
            </w:pPr>
            <w:r>
              <w:rPr>
                <w:rFonts w:ascii="宋体" w:hAnsi="宋体" w:eastAsia="宋体"/>
                <w:szCs w:val="21"/>
                <w:highlight w:val="none"/>
              </w:rPr>
              <w:t>1.4.3</w:t>
            </w:r>
          </w:p>
        </w:tc>
        <w:tc>
          <w:tcPr>
            <w:tcW w:w="2100" w:type="dxa"/>
            <w:vAlign w:val="center"/>
          </w:tcPr>
          <w:p w14:paraId="67DD2528">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投标人不得存在的其他情形</w:t>
            </w:r>
          </w:p>
        </w:tc>
        <w:tc>
          <w:tcPr>
            <w:tcW w:w="6909" w:type="dxa"/>
            <w:vAlign w:val="center"/>
          </w:tcPr>
          <w:p w14:paraId="699F4B1E">
            <w:pPr>
              <w:snapToGrid w:val="0"/>
              <w:spacing w:line="276" w:lineRule="auto"/>
              <w:rPr>
                <w:rFonts w:ascii="宋体" w:hAnsi="宋体" w:eastAsia="宋体"/>
                <w:szCs w:val="21"/>
                <w:highlight w:val="none"/>
              </w:rPr>
            </w:pPr>
            <w:r>
              <w:rPr>
                <w:rFonts w:ascii="宋体" w:hAnsi="宋体" w:eastAsia="宋体"/>
                <w:szCs w:val="21"/>
                <w:highlight w:val="none"/>
              </w:rPr>
              <w:t>/</w:t>
            </w:r>
          </w:p>
        </w:tc>
      </w:tr>
      <w:tr w14:paraId="176B75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945" w:type="dxa"/>
            <w:vAlign w:val="center"/>
          </w:tcPr>
          <w:p w14:paraId="3E5F8065">
            <w:pPr>
              <w:snapToGrid w:val="0"/>
              <w:spacing w:line="276" w:lineRule="auto"/>
              <w:jc w:val="center"/>
              <w:rPr>
                <w:rFonts w:ascii="宋体" w:hAnsi="宋体" w:eastAsia="宋体"/>
                <w:szCs w:val="21"/>
                <w:highlight w:val="none"/>
              </w:rPr>
            </w:pPr>
            <w:r>
              <w:rPr>
                <w:rFonts w:ascii="宋体" w:hAnsi="宋体" w:eastAsia="宋体"/>
                <w:szCs w:val="21"/>
                <w:highlight w:val="none"/>
              </w:rPr>
              <w:t>1.9.1</w:t>
            </w:r>
          </w:p>
        </w:tc>
        <w:tc>
          <w:tcPr>
            <w:tcW w:w="2100" w:type="dxa"/>
            <w:vAlign w:val="center"/>
          </w:tcPr>
          <w:p w14:paraId="6D9519B8">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踏勘现场</w:t>
            </w:r>
          </w:p>
        </w:tc>
        <w:tc>
          <w:tcPr>
            <w:tcW w:w="6909" w:type="dxa"/>
            <w:vAlign w:val="center"/>
          </w:tcPr>
          <w:p w14:paraId="40027D2E">
            <w:pPr>
              <w:pStyle w:val="8"/>
              <w:topLinePunct/>
              <w:snapToGrid w:val="0"/>
              <w:spacing w:line="276" w:lineRule="auto"/>
              <w:ind w:right="174" w:rightChars="83"/>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不组织，由投标人自行现场考察。</w:t>
            </w:r>
          </w:p>
          <w:p w14:paraId="61CCFF93">
            <w:pPr>
              <w:pStyle w:val="8"/>
              <w:topLinePunct/>
              <w:snapToGrid w:val="0"/>
              <w:spacing w:line="276" w:lineRule="auto"/>
              <w:ind w:right="174" w:rightChars="83"/>
              <w:rPr>
                <w:rFonts w:hAnsi="宋体"/>
                <w:sz w:val="21"/>
                <w:szCs w:val="21"/>
                <w:highlight w:val="none"/>
              </w:rPr>
            </w:pPr>
            <w:r>
              <w:rPr>
                <w:rFonts w:hint="eastAsia" w:hAnsi="宋体"/>
                <w:szCs w:val="21"/>
                <w:highlight w:val="none"/>
              </w:rPr>
              <w:t>□</w:t>
            </w:r>
            <w:r>
              <w:rPr>
                <w:rFonts w:hint="eastAsia" w:hAnsi="宋体"/>
                <w:sz w:val="21"/>
                <w:szCs w:val="21"/>
                <w:highlight w:val="none"/>
              </w:rPr>
              <w:t>组织，踏勘时间：</w:t>
            </w:r>
            <w:r>
              <w:rPr>
                <w:rFonts w:hAnsi="宋体"/>
                <w:sz w:val="21"/>
                <w:szCs w:val="21"/>
                <w:highlight w:val="none"/>
              </w:rPr>
              <w:t>/</w:t>
            </w:r>
          </w:p>
          <w:p w14:paraId="61D1BEDD">
            <w:pPr>
              <w:pStyle w:val="8"/>
              <w:topLinePunct/>
              <w:spacing w:line="276" w:lineRule="auto"/>
              <w:rPr>
                <w:rFonts w:hAnsi="宋体"/>
                <w:sz w:val="21"/>
                <w:szCs w:val="21"/>
                <w:highlight w:val="none"/>
              </w:rPr>
            </w:pPr>
            <w:r>
              <w:rPr>
                <w:rFonts w:hint="eastAsia" w:hAnsi="宋体"/>
                <w:sz w:val="21"/>
                <w:szCs w:val="21"/>
                <w:highlight w:val="none"/>
              </w:rPr>
              <w:t>踏勘集中地点：</w:t>
            </w:r>
            <w:r>
              <w:rPr>
                <w:rFonts w:hAnsi="宋体"/>
                <w:sz w:val="21"/>
                <w:szCs w:val="21"/>
                <w:highlight w:val="none"/>
              </w:rPr>
              <w:t>/</w:t>
            </w:r>
          </w:p>
        </w:tc>
      </w:tr>
      <w:tr w14:paraId="4C810A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25FED383">
            <w:pPr>
              <w:snapToGrid w:val="0"/>
              <w:spacing w:line="276" w:lineRule="auto"/>
              <w:jc w:val="center"/>
              <w:rPr>
                <w:rFonts w:ascii="宋体" w:hAnsi="宋体" w:eastAsia="宋体"/>
                <w:szCs w:val="21"/>
                <w:highlight w:val="none"/>
              </w:rPr>
            </w:pPr>
            <w:r>
              <w:rPr>
                <w:rFonts w:ascii="宋体" w:hAnsi="宋体" w:eastAsia="宋体"/>
                <w:szCs w:val="21"/>
                <w:highlight w:val="none"/>
              </w:rPr>
              <w:t>1.10.1</w:t>
            </w:r>
          </w:p>
        </w:tc>
        <w:tc>
          <w:tcPr>
            <w:tcW w:w="2100" w:type="dxa"/>
            <w:vAlign w:val="center"/>
          </w:tcPr>
          <w:p w14:paraId="55B274B4">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投标预备会</w:t>
            </w:r>
          </w:p>
        </w:tc>
        <w:tc>
          <w:tcPr>
            <w:tcW w:w="6909" w:type="dxa"/>
            <w:vAlign w:val="center"/>
          </w:tcPr>
          <w:p w14:paraId="700B63B9">
            <w:pPr>
              <w:pStyle w:val="8"/>
              <w:topLinePunct/>
              <w:spacing w:line="276" w:lineRule="auto"/>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不召开</w:t>
            </w:r>
          </w:p>
          <w:p w14:paraId="61F32F17">
            <w:pPr>
              <w:spacing w:line="276"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 </w:t>
            </w:r>
            <w:r>
              <w:rPr>
                <w:rFonts w:hint="eastAsia" w:ascii="宋体" w:hAnsi="宋体" w:eastAsia="宋体"/>
                <w:szCs w:val="21"/>
                <w:highlight w:val="none"/>
              </w:rPr>
              <w:t>召开，召开时间：</w:t>
            </w:r>
            <w:r>
              <w:rPr>
                <w:rFonts w:ascii="宋体" w:hAnsi="宋体" w:eastAsia="宋体"/>
                <w:szCs w:val="21"/>
                <w:highlight w:val="none"/>
              </w:rPr>
              <w:t>/</w:t>
            </w:r>
          </w:p>
          <w:p w14:paraId="29DB1903">
            <w:pPr>
              <w:spacing w:line="276" w:lineRule="auto"/>
              <w:rPr>
                <w:rFonts w:ascii="宋体" w:hAnsi="宋体" w:eastAsia="宋体"/>
                <w:szCs w:val="21"/>
                <w:highlight w:val="none"/>
              </w:rPr>
            </w:pPr>
            <w:r>
              <w:rPr>
                <w:rFonts w:hint="eastAsia" w:ascii="宋体" w:hAnsi="宋体" w:eastAsia="宋体"/>
                <w:szCs w:val="21"/>
                <w:highlight w:val="none"/>
              </w:rPr>
              <w:t>召开地点：</w:t>
            </w:r>
            <w:r>
              <w:rPr>
                <w:rFonts w:ascii="宋体" w:hAnsi="宋体" w:eastAsia="宋体"/>
                <w:szCs w:val="21"/>
                <w:highlight w:val="none"/>
              </w:rPr>
              <w:t>/</w:t>
            </w:r>
          </w:p>
        </w:tc>
      </w:tr>
      <w:tr w14:paraId="482BB4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41AD4D1A">
            <w:pPr>
              <w:snapToGrid w:val="0"/>
              <w:spacing w:line="276" w:lineRule="auto"/>
              <w:jc w:val="center"/>
              <w:rPr>
                <w:rFonts w:ascii="宋体" w:hAnsi="宋体" w:eastAsia="宋体"/>
                <w:szCs w:val="21"/>
                <w:highlight w:val="none"/>
              </w:rPr>
            </w:pPr>
            <w:r>
              <w:rPr>
                <w:rFonts w:ascii="宋体" w:hAnsi="宋体" w:eastAsia="宋体"/>
                <w:szCs w:val="21"/>
                <w:highlight w:val="none"/>
              </w:rPr>
              <w:t>1.10.2</w:t>
            </w:r>
          </w:p>
        </w:tc>
        <w:tc>
          <w:tcPr>
            <w:tcW w:w="2100" w:type="dxa"/>
            <w:vAlign w:val="center"/>
          </w:tcPr>
          <w:p w14:paraId="067B5DA4">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投标人在投标预备会前提出问题</w:t>
            </w:r>
          </w:p>
        </w:tc>
        <w:tc>
          <w:tcPr>
            <w:tcW w:w="6909" w:type="dxa"/>
            <w:vAlign w:val="center"/>
          </w:tcPr>
          <w:p w14:paraId="4304CDF5">
            <w:pPr>
              <w:snapToGrid w:val="0"/>
              <w:spacing w:line="276" w:lineRule="auto"/>
              <w:rPr>
                <w:rFonts w:ascii="宋体" w:hAnsi="宋体" w:eastAsia="宋体"/>
                <w:szCs w:val="21"/>
                <w:highlight w:val="none"/>
              </w:rPr>
            </w:pPr>
            <w:r>
              <w:rPr>
                <w:rFonts w:hint="eastAsia" w:ascii="宋体" w:hAnsi="宋体" w:eastAsia="宋体"/>
                <w:szCs w:val="21"/>
                <w:highlight w:val="none"/>
              </w:rPr>
              <w:t>本项目不召开投标预备会。</w:t>
            </w:r>
          </w:p>
        </w:tc>
      </w:tr>
      <w:tr w14:paraId="08592A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22E3CB07">
            <w:pPr>
              <w:snapToGrid w:val="0"/>
              <w:spacing w:line="276" w:lineRule="auto"/>
              <w:jc w:val="center"/>
              <w:rPr>
                <w:rFonts w:ascii="宋体" w:hAnsi="宋体" w:eastAsia="宋体"/>
                <w:szCs w:val="21"/>
                <w:highlight w:val="none"/>
              </w:rPr>
            </w:pPr>
            <w:r>
              <w:rPr>
                <w:rFonts w:ascii="宋体" w:hAnsi="宋体" w:eastAsia="宋体"/>
                <w:szCs w:val="21"/>
                <w:highlight w:val="none"/>
              </w:rPr>
              <w:t>1.10.3</w:t>
            </w:r>
          </w:p>
        </w:tc>
        <w:tc>
          <w:tcPr>
            <w:tcW w:w="2100" w:type="dxa"/>
            <w:vAlign w:val="center"/>
          </w:tcPr>
          <w:p w14:paraId="7D021326">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招标文件澄清发出的形式</w:t>
            </w:r>
          </w:p>
        </w:tc>
        <w:tc>
          <w:tcPr>
            <w:tcW w:w="6909" w:type="dxa"/>
            <w:vAlign w:val="center"/>
          </w:tcPr>
          <w:p w14:paraId="53A67898">
            <w:pPr>
              <w:snapToGrid w:val="0"/>
              <w:spacing w:line="276" w:lineRule="auto"/>
              <w:ind w:right="174" w:rightChars="83"/>
              <w:rPr>
                <w:rFonts w:ascii="宋体" w:hAnsi="宋体" w:eastAsia="宋体"/>
                <w:szCs w:val="21"/>
                <w:highlight w:val="none"/>
              </w:rPr>
            </w:pPr>
            <w:r>
              <w:rPr>
                <w:rFonts w:hint="eastAsia" w:ascii="宋体" w:hAnsi="宋体" w:eastAsia="宋体"/>
                <w:szCs w:val="21"/>
                <w:highlight w:val="none"/>
              </w:rPr>
              <w:t>在广州建筑工程监理有限公司网站发布，一经发布，视作已发放给所有投标人。</w:t>
            </w:r>
          </w:p>
        </w:tc>
      </w:tr>
      <w:tr w14:paraId="2808B7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13F60DB6">
            <w:pPr>
              <w:snapToGrid w:val="0"/>
              <w:spacing w:line="276" w:lineRule="auto"/>
              <w:jc w:val="center"/>
              <w:rPr>
                <w:rFonts w:ascii="宋体" w:hAnsi="宋体" w:eastAsia="宋体"/>
                <w:szCs w:val="21"/>
                <w:highlight w:val="none"/>
              </w:rPr>
            </w:pPr>
            <w:r>
              <w:rPr>
                <w:rFonts w:ascii="宋体" w:hAnsi="宋体" w:eastAsia="宋体"/>
                <w:szCs w:val="21"/>
                <w:highlight w:val="none"/>
              </w:rPr>
              <w:t>1.12.1</w:t>
            </w:r>
          </w:p>
        </w:tc>
        <w:tc>
          <w:tcPr>
            <w:tcW w:w="2100" w:type="dxa"/>
            <w:vAlign w:val="center"/>
          </w:tcPr>
          <w:p w14:paraId="5AD04608">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实质性要求和条件</w:t>
            </w:r>
          </w:p>
        </w:tc>
        <w:tc>
          <w:tcPr>
            <w:tcW w:w="6909" w:type="dxa"/>
            <w:vAlign w:val="center"/>
          </w:tcPr>
          <w:p w14:paraId="42B25840">
            <w:pPr>
              <w:snapToGrid w:val="0"/>
              <w:spacing w:line="276" w:lineRule="auto"/>
              <w:ind w:right="174" w:rightChars="83"/>
              <w:rPr>
                <w:rFonts w:ascii="宋体" w:hAnsi="宋体" w:eastAsia="宋体"/>
                <w:szCs w:val="21"/>
                <w:highlight w:val="none"/>
              </w:rPr>
            </w:pPr>
            <w:r>
              <w:rPr>
                <w:rFonts w:ascii="宋体" w:hAnsi="宋体" w:eastAsia="宋体"/>
                <w:szCs w:val="21"/>
                <w:highlight w:val="none"/>
              </w:rPr>
              <w:t>/</w:t>
            </w:r>
          </w:p>
        </w:tc>
      </w:tr>
      <w:tr w14:paraId="54F20F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75A46306">
            <w:pPr>
              <w:snapToGrid w:val="0"/>
              <w:spacing w:line="276" w:lineRule="auto"/>
              <w:jc w:val="center"/>
              <w:rPr>
                <w:rFonts w:ascii="宋体" w:hAnsi="宋体" w:eastAsia="宋体"/>
                <w:szCs w:val="21"/>
                <w:highlight w:val="none"/>
              </w:rPr>
            </w:pPr>
            <w:r>
              <w:rPr>
                <w:rFonts w:ascii="宋体" w:hAnsi="宋体" w:eastAsia="宋体"/>
                <w:szCs w:val="21"/>
                <w:highlight w:val="none"/>
              </w:rPr>
              <w:t>1.12.3</w:t>
            </w:r>
          </w:p>
        </w:tc>
        <w:tc>
          <w:tcPr>
            <w:tcW w:w="2100" w:type="dxa"/>
            <w:vAlign w:val="center"/>
          </w:tcPr>
          <w:p w14:paraId="3E4C4913">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偏差</w:t>
            </w:r>
          </w:p>
        </w:tc>
        <w:tc>
          <w:tcPr>
            <w:tcW w:w="6909" w:type="dxa"/>
          </w:tcPr>
          <w:p w14:paraId="13C3D469">
            <w:pPr>
              <w:spacing w:line="276" w:lineRule="auto"/>
              <w:rPr>
                <w:rFonts w:ascii="宋体" w:hAnsi="宋体" w:eastAsia="宋体"/>
                <w:szCs w:val="21"/>
                <w:highlight w:val="none"/>
              </w:rPr>
            </w:pPr>
            <w:r>
              <w:rPr>
                <w:rFonts w:ascii="宋体" w:hAnsi="宋体" w:eastAsia="宋体"/>
                <w:szCs w:val="21"/>
                <w:highlight w:val="none"/>
              </w:rPr>
              <w:sym w:font="Wingdings" w:char="00FE"/>
            </w:r>
            <w:r>
              <w:rPr>
                <w:rFonts w:hint="eastAsia" w:ascii="宋体" w:hAnsi="宋体" w:eastAsia="宋体"/>
                <w:szCs w:val="21"/>
                <w:highlight w:val="none"/>
              </w:rPr>
              <w:t>不允许</w:t>
            </w:r>
          </w:p>
          <w:p w14:paraId="47D4B80E">
            <w:pPr>
              <w:pStyle w:val="8"/>
              <w:topLinePunct/>
              <w:spacing w:line="276" w:lineRule="auto"/>
              <w:rPr>
                <w:rFonts w:hAnsi="宋体"/>
                <w:sz w:val="21"/>
                <w:szCs w:val="21"/>
                <w:highlight w:val="none"/>
              </w:rPr>
            </w:pPr>
            <w:r>
              <w:rPr>
                <w:rFonts w:hint="eastAsia" w:hAnsi="宋体"/>
                <w:sz w:val="21"/>
                <w:szCs w:val="21"/>
                <w:highlight w:val="none"/>
              </w:rPr>
              <w:t>□允许，偏差范围：</w:t>
            </w:r>
            <w:r>
              <w:rPr>
                <w:rFonts w:hAnsi="宋体"/>
                <w:sz w:val="21"/>
                <w:szCs w:val="21"/>
                <w:highlight w:val="none"/>
              </w:rPr>
              <w:t xml:space="preserve">       </w:t>
            </w:r>
            <w:r>
              <w:rPr>
                <w:rFonts w:hint="eastAsia" w:hAnsi="宋体"/>
                <w:sz w:val="21"/>
                <w:szCs w:val="21"/>
                <w:highlight w:val="none"/>
              </w:rPr>
              <w:t>，偏差幅度：</w:t>
            </w:r>
            <w:r>
              <w:rPr>
                <w:rFonts w:hAnsi="宋体"/>
                <w:sz w:val="21"/>
                <w:szCs w:val="21"/>
                <w:highlight w:val="none"/>
              </w:rPr>
              <w:t xml:space="preserve">       </w:t>
            </w:r>
            <w:r>
              <w:rPr>
                <w:rFonts w:hint="eastAsia" w:hAnsi="宋体"/>
                <w:sz w:val="21"/>
                <w:szCs w:val="21"/>
                <w:highlight w:val="none"/>
              </w:rPr>
              <w:t>。</w:t>
            </w:r>
          </w:p>
        </w:tc>
      </w:tr>
      <w:tr w14:paraId="08D7B9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7F940811">
            <w:pPr>
              <w:snapToGrid w:val="0"/>
              <w:spacing w:line="276" w:lineRule="auto"/>
              <w:jc w:val="center"/>
              <w:rPr>
                <w:rFonts w:ascii="宋体" w:hAnsi="宋体" w:eastAsia="宋体"/>
                <w:szCs w:val="21"/>
                <w:highlight w:val="none"/>
              </w:rPr>
            </w:pPr>
            <w:r>
              <w:rPr>
                <w:rFonts w:ascii="宋体" w:hAnsi="宋体" w:eastAsia="宋体"/>
                <w:szCs w:val="21"/>
                <w:highlight w:val="none"/>
              </w:rPr>
              <w:t>2.1</w:t>
            </w:r>
          </w:p>
        </w:tc>
        <w:tc>
          <w:tcPr>
            <w:tcW w:w="2100" w:type="dxa"/>
            <w:vAlign w:val="center"/>
          </w:tcPr>
          <w:p w14:paraId="6C1850E2">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构成招标文件的其他资料</w:t>
            </w:r>
          </w:p>
        </w:tc>
        <w:tc>
          <w:tcPr>
            <w:tcW w:w="6909" w:type="dxa"/>
            <w:vAlign w:val="center"/>
          </w:tcPr>
          <w:p w14:paraId="5E4F47F6">
            <w:pPr>
              <w:snapToGrid w:val="0"/>
              <w:spacing w:line="276" w:lineRule="auto"/>
              <w:rPr>
                <w:rFonts w:ascii="宋体" w:hAnsi="宋体" w:eastAsia="宋体"/>
                <w:szCs w:val="21"/>
                <w:highlight w:val="none"/>
              </w:rPr>
            </w:pPr>
            <w:r>
              <w:rPr>
                <w:rFonts w:ascii="宋体" w:hAnsi="宋体" w:eastAsia="宋体"/>
                <w:szCs w:val="21"/>
                <w:highlight w:val="none"/>
              </w:rPr>
              <w:t>/</w:t>
            </w:r>
          </w:p>
        </w:tc>
      </w:tr>
      <w:tr w14:paraId="275822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945" w:type="dxa"/>
            <w:vMerge w:val="restart"/>
            <w:vAlign w:val="center"/>
          </w:tcPr>
          <w:p w14:paraId="32205B09">
            <w:pPr>
              <w:snapToGrid w:val="0"/>
              <w:spacing w:line="276" w:lineRule="auto"/>
              <w:jc w:val="center"/>
              <w:rPr>
                <w:rFonts w:ascii="宋体" w:hAnsi="宋体" w:eastAsia="宋体"/>
                <w:szCs w:val="21"/>
                <w:highlight w:val="none"/>
              </w:rPr>
            </w:pPr>
            <w:r>
              <w:rPr>
                <w:rFonts w:ascii="宋体" w:hAnsi="宋体" w:eastAsia="宋体"/>
                <w:szCs w:val="21"/>
                <w:highlight w:val="none"/>
              </w:rPr>
              <w:t>2.2.1</w:t>
            </w:r>
          </w:p>
        </w:tc>
        <w:tc>
          <w:tcPr>
            <w:tcW w:w="2100" w:type="dxa"/>
            <w:vMerge w:val="restart"/>
            <w:vAlign w:val="center"/>
          </w:tcPr>
          <w:p w14:paraId="5D824BAD">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投标人要求澄清招标文件</w:t>
            </w:r>
          </w:p>
        </w:tc>
        <w:tc>
          <w:tcPr>
            <w:tcW w:w="6909" w:type="dxa"/>
            <w:vAlign w:val="center"/>
          </w:tcPr>
          <w:p w14:paraId="15F8E350">
            <w:pPr>
              <w:spacing w:line="276" w:lineRule="auto"/>
              <w:rPr>
                <w:rFonts w:ascii="宋体" w:hAnsi="宋体" w:eastAsia="宋体"/>
                <w:szCs w:val="21"/>
                <w:highlight w:val="none"/>
              </w:rPr>
            </w:pPr>
            <w:r>
              <w:rPr>
                <w:rFonts w:hint="eastAsia" w:ascii="宋体" w:hAnsi="宋体" w:eastAsia="宋体"/>
                <w:szCs w:val="21"/>
                <w:highlight w:val="none"/>
              </w:rPr>
              <w:t>时间：投标人需要在2</w:t>
            </w:r>
            <w:r>
              <w:rPr>
                <w:rFonts w:ascii="宋体" w:hAnsi="宋体" w:eastAsia="宋体"/>
                <w:szCs w:val="21"/>
                <w:highlight w:val="none"/>
              </w:rPr>
              <w:t>02</w:t>
            </w:r>
            <w:r>
              <w:rPr>
                <w:rFonts w:hint="eastAsia" w:ascii="宋体" w:hAnsi="宋体" w:eastAsia="宋体"/>
                <w:szCs w:val="21"/>
                <w:highlight w:val="none"/>
              </w:rPr>
              <w:t>5年</w:t>
            </w:r>
            <w:r>
              <w:rPr>
                <w:rFonts w:hint="eastAsia" w:ascii="宋体" w:hAnsi="宋体" w:eastAsia="宋体"/>
                <w:szCs w:val="21"/>
                <w:highlight w:val="none"/>
                <w:lang w:val="en-US" w:eastAsia="zh-CN"/>
              </w:rPr>
              <w:t>11</w:t>
            </w:r>
            <w:r>
              <w:rPr>
                <w:rFonts w:hint="eastAsia" w:ascii="宋体" w:hAnsi="宋体" w:eastAsia="宋体"/>
                <w:szCs w:val="21"/>
                <w:highlight w:val="none"/>
              </w:rPr>
              <w:t>月</w:t>
            </w:r>
            <w:r>
              <w:rPr>
                <w:rFonts w:hint="eastAsia" w:ascii="宋体" w:hAnsi="宋体" w:eastAsia="宋体"/>
                <w:szCs w:val="21"/>
                <w:highlight w:val="none"/>
                <w:lang w:val="en-US" w:eastAsia="zh-CN"/>
              </w:rPr>
              <w:t>16</w:t>
            </w:r>
            <w:r>
              <w:rPr>
                <w:rFonts w:ascii="宋体" w:hAnsi="宋体" w:eastAsia="宋体"/>
                <w:szCs w:val="21"/>
                <w:highlight w:val="none"/>
              </w:rPr>
              <w:t xml:space="preserve"> </w:t>
            </w:r>
            <w:r>
              <w:rPr>
                <w:rFonts w:hint="eastAsia" w:ascii="宋体" w:hAnsi="宋体" w:eastAsia="宋体"/>
                <w:szCs w:val="21"/>
                <w:highlight w:val="none"/>
              </w:rPr>
              <w:t>日</w:t>
            </w:r>
            <w:r>
              <w:rPr>
                <w:rFonts w:ascii="宋体" w:hAnsi="宋体" w:eastAsia="宋体"/>
                <w:szCs w:val="21"/>
                <w:highlight w:val="none"/>
              </w:rPr>
              <w:t>前提出</w:t>
            </w:r>
            <w:r>
              <w:rPr>
                <w:rFonts w:hint="eastAsia" w:ascii="宋体" w:hAnsi="宋体" w:eastAsia="宋体"/>
                <w:szCs w:val="21"/>
                <w:highlight w:val="none"/>
              </w:rPr>
              <w:t>投标疑问</w:t>
            </w:r>
            <w:r>
              <w:rPr>
                <w:rFonts w:ascii="宋体" w:hAnsi="宋体" w:eastAsia="宋体"/>
                <w:szCs w:val="21"/>
                <w:highlight w:val="none"/>
              </w:rPr>
              <w:t>。</w:t>
            </w:r>
          </w:p>
        </w:tc>
      </w:tr>
      <w:tr w14:paraId="5EF8DD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945" w:type="dxa"/>
            <w:vMerge w:val="continue"/>
            <w:vAlign w:val="center"/>
          </w:tcPr>
          <w:p w14:paraId="563DD628">
            <w:pPr>
              <w:snapToGrid w:val="0"/>
              <w:spacing w:line="276" w:lineRule="auto"/>
              <w:jc w:val="center"/>
              <w:rPr>
                <w:rFonts w:ascii="宋体" w:hAnsi="宋体" w:eastAsia="宋体"/>
                <w:szCs w:val="21"/>
                <w:highlight w:val="none"/>
              </w:rPr>
            </w:pPr>
          </w:p>
        </w:tc>
        <w:tc>
          <w:tcPr>
            <w:tcW w:w="2100" w:type="dxa"/>
            <w:vMerge w:val="continue"/>
            <w:vAlign w:val="center"/>
          </w:tcPr>
          <w:p w14:paraId="46F75253">
            <w:pPr>
              <w:snapToGrid w:val="0"/>
              <w:spacing w:line="276" w:lineRule="auto"/>
              <w:jc w:val="center"/>
              <w:rPr>
                <w:rFonts w:ascii="宋体" w:hAnsi="宋体" w:eastAsia="宋体"/>
                <w:szCs w:val="21"/>
                <w:highlight w:val="none"/>
              </w:rPr>
            </w:pPr>
          </w:p>
        </w:tc>
        <w:tc>
          <w:tcPr>
            <w:tcW w:w="6909" w:type="dxa"/>
            <w:vAlign w:val="center"/>
          </w:tcPr>
          <w:p w14:paraId="63BBB6A8">
            <w:pPr>
              <w:snapToGrid w:val="0"/>
              <w:spacing w:line="276" w:lineRule="auto"/>
              <w:rPr>
                <w:rFonts w:ascii="宋体" w:hAnsi="宋体" w:eastAsia="宋体"/>
                <w:szCs w:val="21"/>
                <w:highlight w:val="none"/>
              </w:rPr>
            </w:pPr>
            <w:r>
              <w:rPr>
                <w:rFonts w:hint="eastAsia" w:ascii="宋体" w:hAnsi="宋体" w:eastAsia="宋体"/>
                <w:szCs w:val="21"/>
                <w:highlight w:val="none"/>
              </w:rPr>
              <w:t>形式：招标答疑采用网上答疑方式进行。投标人若对招标文件（包括合同版本、最高投标限价等）有疑问的，可在规定的时间内通过电子邮件将问题提交给招标人或招标代理人。邮箱地址：61899233@qq.com</w:t>
            </w:r>
          </w:p>
          <w:p w14:paraId="3B884902">
            <w:pPr>
              <w:snapToGrid w:val="0"/>
              <w:spacing w:line="276" w:lineRule="auto"/>
              <w:rPr>
                <w:rFonts w:ascii="宋体" w:hAnsi="宋体" w:eastAsia="宋体"/>
                <w:szCs w:val="21"/>
                <w:highlight w:val="none"/>
              </w:rPr>
            </w:pPr>
          </w:p>
        </w:tc>
      </w:tr>
      <w:tr w14:paraId="123615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945" w:type="dxa"/>
            <w:vAlign w:val="center"/>
          </w:tcPr>
          <w:p w14:paraId="4B46A13A">
            <w:pPr>
              <w:snapToGrid w:val="0"/>
              <w:spacing w:line="276" w:lineRule="auto"/>
              <w:jc w:val="center"/>
              <w:rPr>
                <w:rFonts w:ascii="宋体" w:hAnsi="宋体" w:eastAsia="宋体"/>
                <w:szCs w:val="21"/>
                <w:highlight w:val="none"/>
              </w:rPr>
            </w:pPr>
            <w:r>
              <w:rPr>
                <w:rFonts w:ascii="宋体" w:hAnsi="宋体" w:eastAsia="宋体"/>
                <w:szCs w:val="21"/>
                <w:highlight w:val="none"/>
              </w:rPr>
              <w:t>2.2.2</w:t>
            </w:r>
          </w:p>
        </w:tc>
        <w:tc>
          <w:tcPr>
            <w:tcW w:w="2100" w:type="dxa"/>
            <w:vAlign w:val="center"/>
          </w:tcPr>
          <w:p w14:paraId="7F64F871">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招标文件澄清发出的形式</w:t>
            </w:r>
          </w:p>
        </w:tc>
        <w:tc>
          <w:tcPr>
            <w:tcW w:w="6909" w:type="dxa"/>
            <w:vAlign w:val="center"/>
          </w:tcPr>
          <w:p w14:paraId="7D30DF8E">
            <w:pPr>
              <w:snapToGrid w:val="0"/>
              <w:spacing w:line="276" w:lineRule="auto"/>
              <w:rPr>
                <w:rFonts w:ascii="宋体" w:hAnsi="宋体" w:eastAsia="宋体"/>
                <w:szCs w:val="21"/>
                <w:highlight w:val="none"/>
              </w:rPr>
            </w:pPr>
            <w:r>
              <w:rPr>
                <w:rFonts w:hint="eastAsia" w:ascii="宋体" w:hAnsi="宋体" w:eastAsia="宋体"/>
                <w:szCs w:val="21"/>
                <w:highlight w:val="none"/>
              </w:rPr>
              <w:t>在递交投标文件截止时间</w:t>
            </w:r>
            <w:r>
              <w:rPr>
                <w:rFonts w:ascii="宋体" w:hAnsi="宋体" w:eastAsia="宋体"/>
                <w:szCs w:val="21"/>
                <w:highlight w:val="none"/>
              </w:rPr>
              <w:t>15天前</w:t>
            </w:r>
            <w:r>
              <w:rPr>
                <w:rFonts w:hint="eastAsia" w:ascii="宋体" w:hAnsi="宋体" w:eastAsia="宋体"/>
                <w:szCs w:val="21"/>
                <w:highlight w:val="none"/>
              </w:rPr>
              <w:t>，</w:t>
            </w:r>
            <w:r>
              <w:rPr>
                <w:rFonts w:ascii="宋体" w:hAnsi="宋体" w:eastAsia="宋体"/>
                <w:szCs w:val="21"/>
                <w:highlight w:val="none"/>
              </w:rPr>
              <w:t>在广州建筑工程监理有限公司网站公开发布。</w:t>
            </w:r>
          </w:p>
        </w:tc>
      </w:tr>
      <w:tr w14:paraId="731A78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945" w:type="dxa"/>
            <w:vMerge w:val="restart"/>
            <w:vAlign w:val="center"/>
          </w:tcPr>
          <w:p w14:paraId="4360E1C5">
            <w:pPr>
              <w:snapToGrid w:val="0"/>
              <w:spacing w:line="276" w:lineRule="auto"/>
              <w:jc w:val="center"/>
              <w:rPr>
                <w:rFonts w:ascii="宋体" w:hAnsi="宋体" w:eastAsia="宋体"/>
                <w:szCs w:val="21"/>
                <w:highlight w:val="none"/>
              </w:rPr>
            </w:pPr>
            <w:r>
              <w:rPr>
                <w:rFonts w:ascii="宋体" w:hAnsi="宋体" w:eastAsia="宋体"/>
                <w:szCs w:val="21"/>
                <w:highlight w:val="none"/>
              </w:rPr>
              <w:t>2.2.3</w:t>
            </w:r>
          </w:p>
        </w:tc>
        <w:tc>
          <w:tcPr>
            <w:tcW w:w="2100" w:type="dxa"/>
            <w:vMerge w:val="restart"/>
            <w:vAlign w:val="center"/>
          </w:tcPr>
          <w:p w14:paraId="56BB721A">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投标人确认收到招标文件澄清</w:t>
            </w:r>
          </w:p>
        </w:tc>
        <w:tc>
          <w:tcPr>
            <w:tcW w:w="6909" w:type="dxa"/>
            <w:vAlign w:val="center"/>
          </w:tcPr>
          <w:p w14:paraId="062C173A">
            <w:pPr>
              <w:snapToGrid w:val="0"/>
              <w:spacing w:line="276" w:lineRule="auto"/>
              <w:rPr>
                <w:rFonts w:ascii="宋体" w:hAnsi="宋体" w:eastAsia="宋体"/>
                <w:szCs w:val="21"/>
                <w:highlight w:val="none"/>
              </w:rPr>
            </w:pPr>
            <w:r>
              <w:rPr>
                <w:rFonts w:hint="eastAsia" w:ascii="宋体" w:hAnsi="宋体" w:eastAsia="宋体"/>
                <w:szCs w:val="21"/>
                <w:highlight w:val="none"/>
              </w:rPr>
              <w:t>时间：发出即视作收到。</w:t>
            </w:r>
          </w:p>
        </w:tc>
      </w:tr>
      <w:tr w14:paraId="56ECB8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5" w:type="dxa"/>
            <w:vMerge w:val="continue"/>
            <w:vAlign w:val="center"/>
          </w:tcPr>
          <w:p w14:paraId="36753F0C">
            <w:pPr>
              <w:snapToGrid w:val="0"/>
              <w:spacing w:line="276" w:lineRule="auto"/>
              <w:jc w:val="center"/>
              <w:rPr>
                <w:rFonts w:ascii="宋体" w:hAnsi="宋体" w:eastAsia="宋体"/>
                <w:szCs w:val="21"/>
                <w:highlight w:val="none"/>
              </w:rPr>
            </w:pPr>
          </w:p>
        </w:tc>
        <w:tc>
          <w:tcPr>
            <w:tcW w:w="2100" w:type="dxa"/>
            <w:vMerge w:val="continue"/>
            <w:vAlign w:val="center"/>
          </w:tcPr>
          <w:p w14:paraId="7C00839D">
            <w:pPr>
              <w:snapToGrid w:val="0"/>
              <w:spacing w:line="276" w:lineRule="auto"/>
              <w:jc w:val="center"/>
              <w:rPr>
                <w:rFonts w:ascii="宋体" w:hAnsi="宋体" w:eastAsia="宋体"/>
                <w:szCs w:val="21"/>
                <w:highlight w:val="none"/>
              </w:rPr>
            </w:pPr>
          </w:p>
        </w:tc>
        <w:tc>
          <w:tcPr>
            <w:tcW w:w="6909" w:type="dxa"/>
            <w:vAlign w:val="center"/>
          </w:tcPr>
          <w:p w14:paraId="7EEF6A45">
            <w:pPr>
              <w:spacing w:line="276" w:lineRule="auto"/>
              <w:rPr>
                <w:rFonts w:ascii="宋体" w:hAnsi="宋体" w:eastAsia="宋体"/>
                <w:szCs w:val="21"/>
                <w:highlight w:val="none"/>
              </w:rPr>
            </w:pPr>
            <w:r>
              <w:rPr>
                <w:rFonts w:hint="eastAsia" w:ascii="宋体" w:hAnsi="宋体" w:eastAsia="宋体"/>
                <w:szCs w:val="21"/>
                <w:highlight w:val="none"/>
              </w:rPr>
              <w:t>形式：招标文件澄清（招标答疑纪要）一经在广州建筑工程监理有限公司网站发布，视作已发放给所有投标人。</w:t>
            </w:r>
          </w:p>
        </w:tc>
      </w:tr>
      <w:tr w14:paraId="7FC916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945" w:type="dxa"/>
            <w:vAlign w:val="center"/>
          </w:tcPr>
          <w:p w14:paraId="4B16071B">
            <w:pPr>
              <w:snapToGrid w:val="0"/>
              <w:spacing w:line="276" w:lineRule="auto"/>
              <w:jc w:val="center"/>
              <w:rPr>
                <w:rFonts w:ascii="宋体" w:hAnsi="宋体" w:eastAsia="宋体"/>
                <w:szCs w:val="21"/>
                <w:highlight w:val="none"/>
              </w:rPr>
            </w:pPr>
            <w:r>
              <w:rPr>
                <w:rFonts w:ascii="宋体" w:hAnsi="宋体" w:eastAsia="宋体"/>
                <w:szCs w:val="21"/>
                <w:highlight w:val="none"/>
              </w:rPr>
              <w:t>2.3.1</w:t>
            </w:r>
          </w:p>
        </w:tc>
        <w:tc>
          <w:tcPr>
            <w:tcW w:w="2100" w:type="dxa"/>
            <w:vAlign w:val="center"/>
          </w:tcPr>
          <w:p w14:paraId="209AA73D">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招标文件修改发出的形式</w:t>
            </w:r>
          </w:p>
        </w:tc>
        <w:tc>
          <w:tcPr>
            <w:tcW w:w="6909" w:type="dxa"/>
            <w:vAlign w:val="center"/>
          </w:tcPr>
          <w:p w14:paraId="19FD8F69">
            <w:pPr>
              <w:snapToGrid w:val="0"/>
              <w:spacing w:line="276" w:lineRule="auto"/>
              <w:rPr>
                <w:rFonts w:ascii="宋体" w:hAnsi="宋体" w:eastAsia="宋体"/>
                <w:szCs w:val="21"/>
                <w:highlight w:val="none"/>
              </w:rPr>
            </w:pPr>
            <w:r>
              <w:rPr>
                <w:rFonts w:hint="eastAsia" w:ascii="宋体" w:hAnsi="宋体" w:eastAsia="宋体"/>
                <w:szCs w:val="21"/>
                <w:highlight w:val="none"/>
              </w:rPr>
              <w:t>以补充公告或项目答疑澄清的方式在广州建筑工程监理有限公司网站发布。</w:t>
            </w:r>
          </w:p>
        </w:tc>
      </w:tr>
      <w:tr w14:paraId="463B34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trPr>
        <w:tc>
          <w:tcPr>
            <w:tcW w:w="945" w:type="dxa"/>
            <w:vMerge w:val="restart"/>
            <w:vAlign w:val="center"/>
          </w:tcPr>
          <w:p w14:paraId="5E2B319E">
            <w:pPr>
              <w:snapToGrid w:val="0"/>
              <w:spacing w:line="276" w:lineRule="auto"/>
              <w:jc w:val="center"/>
              <w:rPr>
                <w:rFonts w:ascii="宋体" w:hAnsi="宋体" w:eastAsia="宋体"/>
                <w:szCs w:val="21"/>
                <w:highlight w:val="none"/>
              </w:rPr>
            </w:pPr>
            <w:r>
              <w:rPr>
                <w:rFonts w:ascii="宋体" w:hAnsi="宋体" w:eastAsia="宋体"/>
                <w:szCs w:val="21"/>
                <w:highlight w:val="none"/>
              </w:rPr>
              <w:t>2.3.2</w:t>
            </w:r>
          </w:p>
        </w:tc>
        <w:tc>
          <w:tcPr>
            <w:tcW w:w="2100" w:type="dxa"/>
            <w:vMerge w:val="restart"/>
            <w:vAlign w:val="center"/>
          </w:tcPr>
          <w:p w14:paraId="68447B60">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投标人确认收到招标文件修改</w:t>
            </w:r>
          </w:p>
        </w:tc>
        <w:tc>
          <w:tcPr>
            <w:tcW w:w="6909" w:type="dxa"/>
            <w:tcBorders>
              <w:bottom w:val="single" w:color="auto" w:sz="4" w:space="0"/>
            </w:tcBorders>
            <w:vAlign w:val="center"/>
          </w:tcPr>
          <w:p w14:paraId="10DD8AFD">
            <w:pPr>
              <w:snapToGrid w:val="0"/>
              <w:spacing w:line="276" w:lineRule="auto"/>
              <w:rPr>
                <w:rFonts w:ascii="宋体" w:hAnsi="宋体" w:eastAsia="宋体"/>
                <w:szCs w:val="21"/>
                <w:highlight w:val="none"/>
              </w:rPr>
            </w:pPr>
            <w:r>
              <w:rPr>
                <w:rFonts w:hint="eastAsia" w:ascii="宋体" w:hAnsi="宋体" w:eastAsia="宋体"/>
                <w:szCs w:val="21"/>
                <w:highlight w:val="none"/>
              </w:rPr>
              <w:t>时间：发出即视作收到。</w:t>
            </w:r>
          </w:p>
        </w:tc>
      </w:tr>
      <w:tr w14:paraId="24D50B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53" w:hRule="atLeast"/>
        </w:trPr>
        <w:tc>
          <w:tcPr>
            <w:tcW w:w="945" w:type="dxa"/>
            <w:vMerge w:val="continue"/>
            <w:vAlign w:val="center"/>
          </w:tcPr>
          <w:p w14:paraId="0D2233D9">
            <w:pPr>
              <w:snapToGrid w:val="0"/>
              <w:spacing w:line="276" w:lineRule="auto"/>
              <w:jc w:val="center"/>
              <w:rPr>
                <w:rFonts w:ascii="宋体" w:hAnsi="宋体" w:eastAsia="宋体"/>
                <w:szCs w:val="21"/>
                <w:highlight w:val="none"/>
              </w:rPr>
            </w:pPr>
          </w:p>
        </w:tc>
        <w:tc>
          <w:tcPr>
            <w:tcW w:w="2100" w:type="dxa"/>
            <w:vMerge w:val="continue"/>
            <w:vAlign w:val="center"/>
          </w:tcPr>
          <w:p w14:paraId="147AFF0E">
            <w:pPr>
              <w:snapToGrid w:val="0"/>
              <w:spacing w:line="276" w:lineRule="auto"/>
              <w:jc w:val="center"/>
              <w:rPr>
                <w:rFonts w:ascii="宋体" w:hAnsi="宋体" w:eastAsia="宋体"/>
                <w:szCs w:val="21"/>
                <w:highlight w:val="none"/>
              </w:rPr>
            </w:pPr>
          </w:p>
        </w:tc>
        <w:tc>
          <w:tcPr>
            <w:tcW w:w="6909" w:type="dxa"/>
            <w:tcBorders>
              <w:top w:val="single" w:color="auto" w:sz="4" w:space="0"/>
            </w:tcBorders>
            <w:vAlign w:val="center"/>
          </w:tcPr>
          <w:p w14:paraId="25A4796A">
            <w:pPr>
              <w:snapToGrid w:val="0"/>
              <w:spacing w:line="276" w:lineRule="auto"/>
              <w:rPr>
                <w:rFonts w:ascii="宋体" w:hAnsi="宋体" w:eastAsia="宋体"/>
                <w:szCs w:val="21"/>
                <w:highlight w:val="none"/>
              </w:rPr>
            </w:pPr>
            <w:r>
              <w:rPr>
                <w:rFonts w:hint="eastAsia" w:ascii="宋体" w:hAnsi="宋体" w:eastAsia="宋体"/>
                <w:szCs w:val="21"/>
                <w:highlight w:val="none"/>
              </w:rPr>
              <w:t>形式：招标文件修改一经在广州建筑工程监理有限公司网站发布，视作已发放给所有投标人，无需确认。潜在投标人应自行关注招标公告公布的网站公告，招标人不再一一通知。投标人因自身贻误行为导致投标失败的，责任自负。</w:t>
            </w:r>
          </w:p>
        </w:tc>
      </w:tr>
      <w:tr w14:paraId="508932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trPr>
        <w:tc>
          <w:tcPr>
            <w:tcW w:w="945" w:type="dxa"/>
            <w:vAlign w:val="center"/>
          </w:tcPr>
          <w:p w14:paraId="26DE2BD8">
            <w:pPr>
              <w:snapToGrid w:val="0"/>
              <w:spacing w:line="276" w:lineRule="auto"/>
              <w:jc w:val="center"/>
              <w:rPr>
                <w:rFonts w:ascii="宋体" w:hAnsi="宋体" w:eastAsia="宋体"/>
                <w:szCs w:val="21"/>
                <w:highlight w:val="none"/>
              </w:rPr>
            </w:pPr>
            <w:r>
              <w:rPr>
                <w:rFonts w:ascii="宋体" w:hAnsi="宋体" w:eastAsia="宋体"/>
                <w:szCs w:val="21"/>
                <w:highlight w:val="none"/>
              </w:rPr>
              <w:t>3.1.1</w:t>
            </w:r>
          </w:p>
        </w:tc>
        <w:tc>
          <w:tcPr>
            <w:tcW w:w="2100" w:type="dxa"/>
            <w:vAlign w:val="center"/>
          </w:tcPr>
          <w:p w14:paraId="249AFA8A">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构成投标文件的其他资料</w:t>
            </w:r>
          </w:p>
        </w:tc>
        <w:tc>
          <w:tcPr>
            <w:tcW w:w="6909" w:type="dxa"/>
            <w:vAlign w:val="center"/>
          </w:tcPr>
          <w:p w14:paraId="73021DE7">
            <w:pPr>
              <w:snapToGrid w:val="0"/>
              <w:spacing w:line="276" w:lineRule="auto"/>
              <w:rPr>
                <w:rFonts w:ascii="宋体" w:hAnsi="宋体" w:eastAsia="宋体"/>
                <w:szCs w:val="21"/>
                <w:highlight w:val="none"/>
              </w:rPr>
            </w:pPr>
            <w:r>
              <w:rPr>
                <w:rFonts w:ascii="宋体" w:hAnsi="宋体" w:eastAsia="宋体"/>
                <w:szCs w:val="21"/>
                <w:highlight w:val="none"/>
              </w:rPr>
              <w:t>满足本项目评审要求的其他资料</w:t>
            </w:r>
            <w:r>
              <w:rPr>
                <w:rFonts w:hint="eastAsia" w:ascii="宋体" w:hAnsi="宋体" w:eastAsia="宋体"/>
                <w:szCs w:val="21"/>
                <w:highlight w:val="none"/>
              </w:rPr>
              <w:t>。</w:t>
            </w:r>
          </w:p>
        </w:tc>
      </w:tr>
      <w:tr w14:paraId="3570CE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74CA8744">
            <w:pPr>
              <w:snapToGrid w:val="0"/>
              <w:spacing w:line="276" w:lineRule="auto"/>
              <w:jc w:val="center"/>
              <w:rPr>
                <w:rFonts w:ascii="宋体" w:hAnsi="宋体" w:eastAsia="宋体"/>
                <w:szCs w:val="21"/>
                <w:highlight w:val="none"/>
              </w:rPr>
            </w:pPr>
            <w:r>
              <w:rPr>
                <w:rFonts w:ascii="宋体" w:hAnsi="宋体" w:eastAsia="宋体"/>
                <w:szCs w:val="21"/>
                <w:highlight w:val="none"/>
              </w:rPr>
              <w:t>3.2.1</w:t>
            </w:r>
          </w:p>
        </w:tc>
        <w:tc>
          <w:tcPr>
            <w:tcW w:w="2100" w:type="dxa"/>
            <w:vAlign w:val="center"/>
          </w:tcPr>
          <w:p w14:paraId="5BC921FB">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增值税税金的计算方法</w:t>
            </w:r>
          </w:p>
        </w:tc>
        <w:tc>
          <w:tcPr>
            <w:tcW w:w="6909" w:type="dxa"/>
            <w:vAlign w:val="center"/>
          </w:tcPr>
          <w:p w14:paraId="04267B7F">
            <w:pPr>
              <w:snapToGrid w:val="0"/>
              <w:spacing w:line="276" w:lineRule="auto"/>
              <w:rPr>
                <w:rFonts w:ascii="宋体" w:hAnsi="宋体" w:eastAsia="宋体"/>
                <w:szCs w:val="21"/>
                <w:highlight w:val="none"/>
              </w:rPr>
            </w:pPr>
            <w:r>
              <w:rPr>
                <w:rFonts w:hint="eastAsia" w:ascii="宋体" w:hAnsi="宋体" w:eastAsia="宋体"/>
                <w:szCs w:val="21"/>
                <w:highlight w:val="none"/>
              </w:rPr>
              <w:t>按国家税务机关的规定执行。</w:t>
            </w:r>
          </w:p>
        </w:tc>
      </w:tr>
      <w:tr w14:paraId="5BB2C0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465139F5">
            <w:pPr>
              <w:snapToGrid w:val="0"/>
              <w:spacing w:line="276" w:lineRule="auto"/>
              <w:jc w:val="center"/>
              <w:rPr>
                <w:rFonts w:ascii="宋体" w:hAnsi="宋体" w:eastAsia="宋体"/>
                <w:szCs w:val="21"/>
                <w:highlight w:val="none"/>
              </w:rPr>
            </w:pPr>
            <w:r>
              <w:rPr>
                <w:rFonts w:ascii="宋体" w:hAnsi="宋体" w:eastAsia="宋体"/>
                <w:szCs w:val="21"/>
                <w:highlight w:val="none"/>
              </w:rPr>
              <w:t>3.2.3</w:t>
            </w:r>
          </w:p>
        </w:tc>
        <w:tc>
          <w:tcPr>
            <w:tcW w:w="2100" w:type="dxa"/>
            <w:vAlign w:val="center"/>
          </w:tcPr>
          <w:p w14:paraId="0DAAA5D1">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报价方式</w:t>
            </w:r>
          </w:p>
        </w:tc>
        <w:tc>
          <w:tcPr>
            <w:tcW w:w="6909" w:type="dxa"/>
            <w:vAlign w:val="center"/>
          </w:tcPr>
          <w:p w14:paraId="76A14EDF">
            <w:pPr>
              <w:snapToGrid w:val="0"/>
              <w:spacing w:line="276" w:lineRule="auto"/>
              <w:rPr>
                <w:rFonts w:ascii="宋体" w:hAnsi="宋体" w:eastAsia="宋体"/>
                <w:szCs w:val="21"/>
                <w:highlight w:val="none"/>
              </w:rPr>
            </w:pPr>
            <w:r>
              <w:rPr>
                <w:rFonts w:hint="eastAsia" w:ascii="宋体" w:hAnsi="宋体" w:eastAsia="宋体"/>
                <w:szCs w:val="21"/>
                <w:highlight w:val="none"/>
              </w:rPr>
              <w:t>自行报价。（以元为单位，保留小数点后两位小数</w:t>
            </w:r>
            <w:r>
              <w:rPr>
                <w:rFonts w:ascii="宋体" w:hAnsi="宋体" w:eastAsia="宋体"/>
                <w:szCs w:val="21"/>
                <w:highlight w:val="none"/>
              </w:rPr>
              <w:t>,第三位小数四舍五入。浮动幅度值若出现小数，则小数点后第三位“四舍五入”。）</w:t>
            </w:r>
          </w:p>
        </w:tc>
      </w:tr>
      <w:tr w14:paraId="55D219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945" w:type="dxa"/>
            <w:vAlign w:val="center"/>
          </w:tcPr>
          <w:p w14:paraId="1691C214">
            <w:pPr>
              <w:snapToGrid w:val="0"/>
              <w:spacing w:line="276" w:lineRule="auto"/>
              <w:jc w:val="center"/>
              <w:rPr>
                <w:rFonts w:ascii="宋体" w:hAnsi="宋体" w:eastAsia="宋体"/>
                <w:szCs w:val="21"/>
                <w:highlight w:val="none"/>
              </w:rPr>
            </w:pPr>
            <w:r>
              <w:rPr>
                <w:rFonts w:ascii="宋体" w:hAnsi="宋体" w:eastAsia="宋体"/>
                <w:szCs w:val="21"/>
                <w:highlight w:val="none"/>
              </w:rPr>
              <w:t>3.2.4</w:t>
            </w:r>
          </w:p>
        </w:tc>
        <w:tc>
          <w:tcPr>
            <w:tcW w:w="2100" w:type="dxa"/>
            <w:vAlign w:val="center"/>
          </w:tcPr>
          <w:p w14:paraId="5A290E95">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最高投标限价</w:t>
            </w:r>
          </w:p>
        </w:tc>
        <w:tc>
          <w:tcPr>
            <w:tcW w:w="6909" w:type="dxa"/>
            <w:vAlign w:val="center"/>
          </w:tcPr>
          <w:p w14:paraId="1055F75F">
            <w:pPr>
              <w:snapToGrid w:val="0"/>
              <w:spacing w:line="276"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 </w:t>
            </w:r>
            <w:r>
              <w:rPr>
                <w:rFonts w:hint="eastAsia" w:ascii="宋体" w:hAnsi="宋体" w:eastAsia="宋体"/>
                <w:szCs w:val="21"/>
                <w:highlight w:val="none"/>
              </w:rPr>
              <w:t>无</w:t>
            </w:r>
          </w:p>
          <w:p w14:paraId="63432D4C">
            <w:pPr>
              <w:tabs>
                <w:tab w:val="left" w:pos="7513"/>
              </w:tabs>
              <w:adjustRightInd w:val="0"/>
              <w:snapToGrid w:val="0"/>
              <w:spacing w:line="276" w:lineRule="auto"/>
              <w:rPr>
                <w:rFonts w:ascii="宋体" w:hAnsi="宋体" w:eastAsia="宋体"/>
                <w:szCs w:val="21"/>
                <w:highlight w:val="none"/>
              </w:rPr>
            </w:pPr>
            <w:r>
              <w:rPr>
                <w:rFonts w:ascii="宋体" w:hAnsi="宋体" w:eastAsia="宋体"/>
                <w:szCs w:val="21"/>
                <w:highlight w:val="none"/>
              </w:rPr>
              <w:sym w:font="Wingdings" w:char="00FE"/>
            </w:r>
            <w:r>
              <w:rPr>
                <w:rFonts w:hint="eastAsia" w:ascii="宋体" w:hAnsi="宋体" w:eastAsia="宋体"/>
                <w:szCs w:val="21"/>
                <w:highlight w:val="none"/>
              </w:rPr>
              <w:t>有，</w:t>
            </w:r>
            <w:r>
              <w:rPr>
                <w:rFonts w:hint="eastAsia" w:ascii="宋体" w:hAnsi="宋体" w:eastAsia="宋体"/>
                <w:b/>
                <w:sz w:val="24"/>
                <w:szCs w:val="24"/>
                <w:highlight w:val="none"/>
              </w:rPr>
              <w:t>最高投标限价：</w:t>
            </w:r>
            <w:r>
              <w:rPr>
                <w:rFonts w:hint="eastAsia" w:ascii="宋体" w:hAnsi="宋体" w:eastAsia="宋体" w:cs="Cambria Math"/>
                <w:sz w:val="24"/>
                <w:szCs w:val="24"/>
                <w:highlight w:val="none"/>
                <w:u w:val="single"/>
              </w:rPr>
              <w:t xml:space="preserve">人民币 2690000.00 </w:t>
            </w:r>
            <w:r>
              <w:rPr>
                <w:rFonts w:hint="eastAsia" w:ascii="宋体" w:hAnsi="宋体" w:eastAsia="宋体"/>
                <w:b/>
                <w:sz w:val="24"/>
                <w:szCs w:val="24"/>
                <w:highlight w:val="none"/>
              </w:rPr>
              <w:t>元</w:t>
            </w:r>
            <w:r>
              <w:rPr>
                <w:rFonts w:hint="eastAsia" w:ascii="宋体" w:hAnsi="宋体" w:eastAsia="宋体"/>
                <w:szCs w:val="21"/>
                <w:highlight w:val="none"/>
              </w:rPr>
              <w:t>。</w:t>
            </w:r>
          </w:p>
        </w:tc>
      </w:tr>
      <w:tr w14:paraId="4C709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45" w:type="dxa"/>
            <w:vAlign w:val="center"/>
          </w:tcPr>
          <w:p w14:paraId="5C4EA50E">
            <w:pPr>
              <w:snapToGrid w:val="0"/>
              <w:spacing w:line="276" w:lineRule="auto"/>
              <w:jc w:val="center"/>
              <w:rPr>
                <w:rFonts w:ascii="宋体" w:hAnsi="宋体" w:eastAsia="宋体"/>
                <w:szCs w:val="21"/>
                <w:highlight w:val="none"/>
              </w:rPr>
            </w:pPr>
            <w:r>
              <w:rPr>
                <w:rFonts w:ascii="宋体" w:hAnsi="宋体" w:eastAsia="宋体"/>
                <w:szCs w:val="21"/>
                <w:highlight w:val="none"/>
              </w:rPr>
              <w:t>3.2.5</w:t>
            </w:r>
          </w:p>
        </w:tc>
        <w:tc>
          <w:tcPr>
            <w:tcW w:w="2100" w:type="dxa"/>
            <w:vAlign w:val="center"/>
          </w:tcPr>
          <w:p w14:paraId="142E3E39">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投标报价的其他要求</w:t>
            </w:r>
          </w:p>
        </w:tc>
        <w:tc>
          <w:tcPr>
            <w:tcW w:w="6909" w:type="dxa"/>
            <w:vAlign w:val="center"/>
          </w:tcPr>
          <w:p w14:paraId="3762B2A9">
            <w:pPr>
              <w:snapToGrid w:val="0"/>
              <w:spacing w:line="276" w:lineRule="auto"/>
              <w:rPr>
                <w:rFonts w:ascii="宋体" w:hAnsi="宋体" w:eastAsia="宋体"/>
                <w:szCs w:val="21"/>
                <w:highlight w:val="none"/>
              </w:rPr>
            </w:pPr>
            <w:r>
              <w:rPr>
                <w:rFonts w:hint="eastAsia" w:ascii="宋体" w:hAnsi="宋体" w:eastAsia="宋体"/>
                <w:szCs w:val="21"/>
                <w:highlight w:val="none"/>
              </w:rPr>
              <w:t>投标人根据企业自身实力自行报价，投标总报价高于最高投标限价的，作无效标处理。</w:t>
            </w:r>
          </w:p>
        </w:tc>
      </w:tr>
      <w:tr w14:paraId="266F27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2A8273C7">
            <w:pPr>
              <w:snapToGrid w:val="0"/>
              <w:spacing w:line="276" w:lineRule="auto"/>
              <w:jc w:val="center"/>
              <w:rPr>
                <w:rFonts w:ascii="宋体" w:hAnsi="宋体" w:eastAsia="宋体"/>
                <w:szCs w:val="21"/>
                <w:highlight w:val="none"/>
              </w:rPr>
            </w:pPr>
            <w:r>
              <w:rPr>
                <w:rFonts w:ascii="宋体" w:hAnsi="宋体" w:eastAsia="宋体"/>
                <w:szCs w:val="21"/>
                <w:highlight w:val="none"/>
              </w:rPr>
              <w:t>3.3.1</w:t>
            </w:r>
          </w:p>
        </w:tc>
        <w:tc>
          <w:tcPr>
            <w:tcW w:w="2100" w:type="dxa"/>
            <w:vAlign w:val="center"/>
          </w:tcPr>
          <w:p w14:paraId="6748FF83">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投标有效期</w:t>
            </w:r>
          </w:p>
        </w:tc>
        <w:tc>
          <w:tcPr>
            <w:tcW w:w="6909" w:type="dxa"/>
            <w:vAlign w:val="center"/>
          </w:tcPr>
          <w:p w14:paraId="5ACC6885">
            <w:pPr>
              <w:snapToGrid w:val="0"/>
              <w:spacing w:line="276" w:lineRule="auto"/>
              <w:rPr>
                <w:rFonts w:ascii="宋体" w:hAnsi="宋体" w:eastAsia="宋体"/>
                <w:szCs w:val="21"/>
                <w:highlight w:val="none"/>
              </w:rPr>
            </w:pPr>
            <w:bookmarkStart w:id="4" w:name="_Toc384308207"/>
            <w:bookmarkStart w:id="5" w:name="_Toc361508582"/>
            <w:bookmarkStart w:id="6" w:name="_Toc369531512"/>
            <w:bookmarkStart w:id="7" w:name="_Toc1789"/>
            <w:bookmarkStart w:id="8" w:name="_Toc352691470"/>
            <w:bookmarkStart w:id="9" w:name="_Toc300834946"/>
            <w:r>
              <w:rPr>
                <w:rFonts w:ascii="宋体" w:hAnsi="宋体" w:eastAsia="宋体"/>
                <w:b/>
                <w:szCs w:val="21"/>
                <w:highlight w:val="none"/>
              </w:rPr>
              <w:t>90日历天</w:t>
            </w:r>
            <w:r>
              <w:rPr>
                <w:rFonts w:hint="eastAsia" w:ascii="宋体" w:hAnsi="宋体" w:eastAsia="宋体"/>
                <w:szCs w:val="21"/>
                <w:highlight w:val="none"/>
              </w:rPr>
              <w:t>（从投标截止之日算起）。</w:t>
            </w:r>
          </w:p>
        </w:tc>
      </w:tr>
      <w:bookmarkEnd w:id="4"/>
      <w:bookmarkEnd w:id="5"/>
      <w:bookmarkEnd w:id="6"/>
      <w:bookmarkEnd w:id="7"/>
      <w:bookmarkEnd w:id="8"/>
      <w:bookmarkEnd w:id="9"/>
      <w:tr w14:paraId="718876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945" w:type="dxa"/>
            <w:vAlign w:val="center"/>
          </w:tcPr>
          <w:p w14:paraId="00A0539E">
            <w:pPr>
              <w:snapToGrid w:val="0"/>
              <w:spacing w:line="276" w:lineRule="auto"/>
              <w:jc w:val="center"/>
              <w:rPr>
                <w:rFonts w:ascii="宋体" w:hAnsi="宋体" w:eastAsia="宋体"/>
                <w:szCs w:val="21"/>
                <w:highlight w:val="none"/>
              </w:rPr>
            </w:pPr>
            <w:r>
              <w:rPr>
                <w:rFonts w:ascii="宋体" w:hAnsi="宋体" w:eastAsia="宋体"/>
                <w:szCs w:val="21"/>
                <w:highlight w:val="none"/>
              </w:rPr>
              <w:t>3.4.1</w:t>
            </w:r>
          </w:p>
        </w:tc>
        <w:tc>
          <w:tcPr>
            <w:tcW w:w="2100" w:type="dxa"/>
            <w:vAlign w:val="center"/>
          </w:tcPr>
          <w:p w14:paraId="3C39D176">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投标保证金</w:t>
            </w:r>
          </w:p>
        </w:tc>
        <w:tc>
          <w:tcPr>
            <w:tcW w:w="6909" w:type="dxa"/>
            <w:vAlign w:val="center"/>
          </w:tcPr>
          <w:p w14:paraId="45F8335B">
            <w:pPr>
              <w:snapToGrid w:val="0"/>
              <w:spacing w:line="276" w:lineRule="auto"/>
              <w:rPr>
                <w:rFonts w:ascii="宋体" w:hAnsi="宋体" w:eastAsia="宋体"/>
                <w:szCs w:val="21"/>
                <w:highlight w:val="none"/>
                <w:u w:val="single"/>
              </w:rPr>
            </w:pPr>
            <w:r>
              <w:rPr>
                <w:rFonts w:hint="eastAsia" w:ascii="宋体" w:hAnsi="宋体" w:eastAsia="宋体"/>
                <w:szCs w:val="21"/>
                <w:highlight w:val="none"/>
              </w:rPr>
              <w:t>是否要求投标人递交投标保证金：</w:t>
            </w:r>
            <w:r>
              <w:rPr>
                <w:rFonts w:hint="eastAsia" w:ascii="宋体" w:hAnsi="宋体" w:eastAsia="宋体"/>
                <w:szCs w:val="21"/>
                <w:highlight w:val="none"/>
                <w:u w:val="single"/>
              </w:rPr>
              <w:t>不要求。关于投标保证金的条款均不适用。</w:t>
            </w:r>
          </w:p>
        </w:tc>
      </w:tr>
      <w:tr w14:paraId="4B702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945" w:type="dxa"/>
            <w:vAlign w:val="center"/>
          </w:tcPr>
          <w:p w14:paraId="72E3C47F">
            <w:pPr>
              <w:snapToGrid w:val="0"/>
              <w:spacing w:line="276" w:lineRule="auto"/>
              <w:jc w:val="center"/>
              <w:rPr>
                <w:rFonts w:ascii="宋体" w:hAnsi="宋体" w:eastAsia="宋体"/>
                <w:szCs w:val="21"/>
                <w:highlight w:val="none"/>
              </w:rPr>
            </w:pPr>
            <w:r>
              <w:rPr>
                <w:rFonts w:ascii="宋体" w:hAnsi="宋体" w:eastAsia="宋体"/>
                <w:szCs w:val="21"/>
                <w:highlight w:val="none"/>
              </w:rPr>
              <w:t>3.4.4</w:t>
            </w:r>
          </w:p>
        </w:tc>
        <w:tc>
          <w:tcPr>
            <w:tcW w:w="2100" w:type="dxa"/>
            <w:vAlign w:val="center"/>
          </w:tcPr>
          <w:p w14:paraId="5D27D856">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其他可以不予退还投标保证金的情形</w:t>
            </w:r>
          </w:p>
        </w:tc>
        <w:tc>
          <w:tcPr>
            <w:tcW w:w="6909" w:type="dxa"/>
            <w:vAlign w:val="center"/>
          </w:tcPr>
          <w:p w14:paraId="0356ABE5">
            <w:pPr>
              <w:snapToGrid w:val="0"/>
              <w:spacing w:line="276" w:lineRule="auto"/>
              <w:rPr>
                <w:rFonts w:ascii="宋体" w:hAnsi="宋体" w:eastAsia="宋体"/>
                <w:szCs w:val="21"/>
                <w:highlight w:val="none"/>
              </w:rPr>
            </w:pPr>
            <w:r>
              <w:rPr>
                <w:rFonts w:ascii="宋体" w:hAnsi="宋体" w:eastAsia="宋体"/>
                <w:szCs w:val="21"/>
                <w:highlight w:val="none"/>
              </w:rPr>
              <w:t>/</w:t>
            </w:r>
          </w:p>
        </w:tc>
      </w:tr>
      <w:tr w14:paraId="0A266A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945" w:type="dxa"/>
            <w:vAlign w:val="center"/>
          </w:tcPr>
          <w:p w14:paraId="2F750170">
            <w:pPr>
              <w:snapToGrid w:val="0"/>
              <w:spacing w:line="276" w:lineRule="auto"/>
              <w:jc w:val="center"/>
              <w:rPr>
                <w:rFonts w:ascii="宋体" w:hAnsi="宋体" w:eastAsia="宋体"/>
                <w:szCs w:val="21"/>
                <w:highlight w:val="none"/>
              </w:rPr>
            </w:pPr>
            <w:r>
              <w:rPr>
                <w:rFonts w:ascii="宋体" w:hAnsi="宋体" w:eastAsia="宋体"/>
                <w:szCs w:val="21"/>
                <w:highlight w:val="none"/>
              </w:rPr>
              <w:t>3.5</w:t>
            </w:r>
          </w:p>
        </w:tc>
        <w:tc>
          <w:tcPr>
            <w:tcW w:w="2100" w:type="dxa"/>
            <w:vAlign w:val="center"/>
          </w:tcPr>
          <w:p w14:paraId="4F919BED">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资格审查资料的特殊要求</w:t>
            </w:r>
          </w:p>
        </w:tc>
        <w:tc>
          <w:tcPr>
            <w:tcW w:w="6909" w:type="dxa"/>
            <w:vAlign w:val="center"/>
          </w:tcPr>
          <w:p w14:paraId="244E4DCA">
            <w:pPr>
              <w:pStyle w:val="8"/>
              <w:topLinePunct/>
              <w:spacing w:line="276" w:lineRule="auto"/>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无</w:t>
            </w:r>
          </w:p>
          <w:p w14:paraId="4104EFBB">
            <w:pPr>
              <w:pStyle w:val="8"/>
              <w:topLinePunct/>
              <w:spacing w:line="276" w:lineRule="auto"/>
              <w:rPr>
                <w:rFonts w:hAnsi="宋体"/>
                <w:sz w:val="21"/>
                <w:szCs w:val="21"/>
                <w:highlight w:val="none"/>
              </w:rPr>
            </w:pPr>
            <w:r>
              <w:rPr>
                <w:rFonts w:hint="eastAsia" w:hAnsi="宋体"/>
                <w:sz w:val="21"/>
                <w:szCs w:val="21"/>
                <w:highlight w:val="none"/>
              </w:rPr>
              <w:t>□</w:t>
            </w:r>
            <w:r>
              <w:rPr>
                <w:rFonts w:hAnsi="宋体"/>
                <w:sz w:val="21"/>
                <w:szCs w:val="21"/>
                <w:highlight w:val="none"/>
              </w:rPr>
              <w:t xml:space="preserve"> </w:t>
            </w:r>
            <w:r>
              <w:rPr>
                <w:rFonts w:hint="eastAsia" w:hAnsi="宋体"/>
                <w:sz w:val="21"/>
                <w:szCs w:val="21"/>
                <w:highlight w:val="none"/>
              </w:rPr>
              <w:t>有，具体要求：</w:t>
            </w:r>
          </w:p>
        </w:tc>
      </w:tr>
      <w:tr w14:paraId="6A74AF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45" w:type="dxa"/>
            <w:vAlign w:val="center"/>
          </w:tcPr>
          <w:p w14:paraId="29116356">
            <w:pPr>
              <w:snapToGrid w:val="0"/>
              <w:spacing w:line="276" w:lineRule="auto"/>
              <w:jc w:val="center"/>
              <w:rPr>
                <w:rFonts w:ascii="宋体" w:hAnsi="宋体" w:eastAsia="宋体"/>
                <w:szCs w:val="21"/>
                <w:highlight w:val="none"/>
              </w:rPr>
            </w:pPr>
            <w:r>
              <w:rPr>
                <w:rFonts w:ascii="宋体" w:hAnsi="宋体" w:eastAsia="宋体"/>
                <w:szCs w:val="21"/>
                <w:highlight w:val="none"/>
              </w:rPr>
              <w:t>3.6.1</w:t>
            </w:r>
          </w:p>
        </w:tc>
        <w:tc>
          <w:tcPr>
            <w:tcW w:w="2100" w:type="dxa"/>
            <w:vAlign w:val="center"/>
          </w:tcPr>
          <w:p w14:paraId="044961A1">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是否允许递交备选投标方案</w:t>
            </w:r>
          </w:p>
        </w:tc>
        <w:tc>
          <w:tcPr>
            <w:tcW w:w="6909" w:type="dxa"/>
            <w:vAlign w:val="center"/>
          </w:tcPr>
          <w:p w14:paraId="333EDF02">
            <w:pPr>
              <w:pStyle w:val="8"/>
              <w:topLinePunct/>
              <w:spacing w:line="276" w:lineRule="auto"/>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不允许</w:t>
            </w:r>
          </w:p>
          <w:p w14:paraId="70298051">
            <w:pPr>
              <w:spacing w:line="276"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 </w:t>
            </w:r>
            <w:r>
              <w:rPr>
                <w:rFonts w:hint="eastAsia" w:ascii="宋体" w:hAnsi="宋体" w:eastAsia="宋体"/>
                <w:szCs w:val="21"/>
                <w:highlight w:val="none"/>
              </w:rPr>
              <w:t>允许</w:t>
            </w:r>
          </w:p>
        </w:tc>
      </w:tr>
      <w:tr w14:paraId="634DF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45" w:type="dxa"/>
            <w:vAlign w:val="center"/>
          </w:tcPr>
          <w:p w14:paraId="3D42A13A">
            <w:pPr>
              <w:snapToGrid w:val="0"/>
              <w:spacing w:line="276" w:lineRule="auto"/>
              <w:rPr>
                <w:rFonts w:ascii="宋体" w:hAnsi="宋体" w:eastAsia="宋体"/>
                <w:szCs w:val="21"/>
                <w:highlight w:val="none"/>
              </w:rPr>
            </w:pPr>
            <w:r>
              <w:rPr>
                <w:rFonts w:ascii="宋体" w:hAnsi="宋体" w:eastAsia="宋体"/>
                <w:szCs w:val="21"/>
                <w:highlight w:val="none"/>
              </w:rPr>
              <w:t>3.7.3A（2）</w:t>
            </w:r>
          </w:p>
        </w:tc>
        <w:tc>
          <w:tcPr>
            <w:tcW w:w="2100" w:type="dxa"/>
            <w:vAlign w:val="center"/>
          </w:tcPr>
          <w:p w14:paraId="03C95434">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投标文件副本份数及其他要求</w:t>
            </w:r>
          </w:p>
        </w:tc>
        <w:tc>
          <w:tcPr>
            <w:tcW w:w="6909" w:type="dxa"/>
            <w:vAlign w:val="center"/>
          </w:tcPr>
          <w:p w14:paraId="275C9AC7">
            <w:pPr>
              <w:snapToGrid w:val="0"/>
              <w:spacing w:line="276" w:lineRule="auto"/>
              <w:rPr>
                <w:rFonts w:ascii="宋体" w:hAnsi="宋体" w:eastAsia="宋体"/>
                <w:szCs w:val="21"/>
                <w:highlight w:val="none"/>
              </w:rPr>
            </w:pPr>
            <w:r>
              <w:rPr>
                <w:rFonts w:hint="eastAsia" w:ascii="宋体" w:hAnsi="宋体" w:eastAsia="宋体"/>
                <w:szCs w:val="21"/>
                <w:highlight w:val="none"/>
              </w:rPr>
              <w:t>投标文件需要打印一正一副，按照规定要求签字（或签章）盖章。并同时递交电子版光盘或者U盘。</w:t>
            </w:r>
          </w:p>
        </w:tc>
      </w:tr>
      <w:tr w14:paraId="45B924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45" w:type="dxa"/>
            <w:vAlign w:val="center"/>
          </w:tcPr>
          <w:p w14:paraId="0D5A23B9">
            <w:pPr>
              <w:snapToGrid w:val="0"/>
              <w:spacing w:line="276" w:lineRule="auto"/>
              <w:rPr>
                <w:rFonts w:ascii="宋体" w:hAnsi="宋体" w:eastAsia="宋体"/>
                <w:szCs w:val="21"/>
                <w:highlight w:val="none"/>
              </w:rPr>
            </w:pPr>
            <w:r>
              <w:rPr>
                <w:rFonts w:ascii="宋体" w:hAnsi="宋体" w:eastAsia="宋体"/>
                <w:szCs w:val="21"/>
                <w:highlight w:val="none"/>
              </w:rPr>
              <w:t>3.7.3A（3）</w:t>
            </w:r>
          </w:p>
        </w:tc>
        <w:tc>
          <w:tcPr>
            <w:tcW w:w="2100" w:type="dxa"/>
            <w:vAlign w:val="center"/>
          </w:tcPr>
          <w:p w14:paraId="7B5B5DB6">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投标文件是否需分册装订</w:t>
            </w:r>
          </w:p>
        </w:tc>
        <w:tc>
          <w:tcPr>
            <w:tcW w:w="6909" w:type="dxa"/>
            <w:vAlign w:val="center"/>
          </w:tcPr>
          <w:p w14:paraId="0CA759E3">
            <w:pPr>
              <w:snapToGrid w:val="0"/>
              <w:spacing w:line="276" w:lineRule="auto"/>
              <w:rPr>
                <w:rFonts w:ascii="宋体" w:hAnsi="宋体" w:eastAsia="宋体"/>
                <w:szCs w:val="21"/>
                <w:highlight w:val="none"/>
              </w:rPr>
            </w:pPr>
            <w:r>
              <w:rPr>
                <w:rFonts w:hint="eastAsia" w:ascii="宋体" w:hAnsi="宋体" w:eastAsia="宋体"/>
                <w:szCs w:val="21"/>
                <w:highlight w:val="none"/>
              </w:rPr>
              <w:t>投标文件需要打印一正一副，按照规定要求签字（或签章）盖章。</w:t>
            </w:r>
          </w:p>
        </w:tc>
      </w:tr>
      <w:tr w14:paraId="79ED81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945" w:type="dxa"/>
            <w:vAlign w:val="center"/>
          </w:tcPr>
          <w:p w14:paraId="129BAA93">
            <w:pPr>
              <w:spacing w:line="276" w:lineRule="auto"/>
              <w:jc w:val="center"/>
              <w:rPr>
                <w:rFonts w:ascii="宋体" w:hAnsi="宋体" w:eastAsia="宋体"/>
                <w:szCs w:val="21"/>
                <w:highlight w:val="none"/>
              </w:rPr>
            </w:pPr>
            <w:r>
              <w:rPr>
                <w:rFonts w:ascii="宋体" w:hAnsi="宋体" w:eastAsia="宋体"/>
                <w:szCs w:val="21"/>
                <w:highlight w:val="none"/>
              </w:rPr>
              <w:t>3.7.3（B）</w:t>
            </w:r>
          </w:p>
        </w:tc>
        <w:tc>
          <w:tcPr>
            <w:tcW w:w="2100" w:type="dxa"/>
            <w:vAlign w:val="center"/>
          </w:tcPr>
          <w:p w14:paraId="2FF22376">
            <w:pPr>
              <w:spacing w:line="276" w:lineRule="auto"/>
              <w:jc w:val="center"/>
              <w:rPr>
                <w:rFonts w:ascii="宋体" w:hAnsi="宋体" w:eastAsia="宋体"/>
                <w:szCs w:val="21"/>
                <w:highlight w:val="none"/>
              </w:rPr>
            </w:pPr>
            <w:r>
              <w:rPr>
                <w:rFonts w:hint="eastAsia" w:ascii="宋体" w:hAnsi="宋体" w:eastAsia="宋体"/>
                <w:szCs w:val="21"/>
                <w:highlight w:val="none"/>
              </w:rPr>
              <w:t>投标文件所附证书证件要求</w:t>
            </w:r>
          </w:p>
        </w:tc>
        <w:tc>
          <w:tcPr>
            <w:tcW w:w="6909" w:type="dxa"/>
            <w:vAlign w:val="center"/>
          </w:tcPr>
          <w:p w14:paraId="550BFC7A">
            <w:pPr>
              <w:pStyle w:val="8"/>
              <w:topLinePunct/>
              <w:spacing w:line="276" w:lineRule="auto"/>
              <w:rPr>
                <w:rFonts w:hAnsi="宋体"/>
                <w:sz w:val="21"/>
                <w:szCs w:val="21"/>
                <w:highlight w:val="none"/>
              </w:rPr>
            </w:pPr>
            <w:r>
              <w:rPr>
                <w:rFonts w:hint="eastAsia" w:hAnsi="宋体"/>
                <w:sz w:val="21"/>
                <w:szCs w:val="21"/>
                <w:highlight w:val="none"/>
              </w:rPr>
              <w:t>证书证件需为原件清晰扫描件，按照招标文件要求在相应位置加盖公章。</w:t>
            </w:r>
          </w:p>
        </w:tc>
      </w:tr>
      <w:tr w14:paraId="28F908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5C84F3F9">
            <w:pPr>
              <w:snapToGrid w:val="0"/>
              <w:spacing w:line="276" w:lineRule="auto"/>
              <w:jc w:val="center"/>
              <w:rPr>
                <w:rFonts w:ascii="宋体" w:hAnsi="宋体" w:eastAsia="宋体"/>
                <w:szCs w:val="21"/>
                <w:highlight w:val="none"/>
              </w:rPr>
            </w:pPr>
            <w:r>
              <w:rPr>
                <w:rFonts w:ascii="宋体" w:hAnsi="宋体" w:eastAsia="宋体"/>
                <w:szCs w:val="21"/>
                <w:highlight w:val="none"/>
              </w:rPr>
              <w:t>3.7.3（B）</w:t>
            </w:r>
          </w:p>
        </w:tc>
        <w:tc>
          <w:tcPr>
            <w:tcW w:w="2100" w:type="dxa"/>
            <w:vAlign w:val="center"/>
          </w:tcPr>
          <w:p w14:paraId="6993FE91">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投标文件签字或盖章要求</w:t>
            </w:r>
          </w:p>
        </w:tc>
        <w:tc>
          <w:tcPr>
            <w:tcW w:w="6909" w:type="dxa"/>
            <w:vAlign w:val="center"/>
          </w:tcPr>
          <w:p w14:paraId="3C28D692">
            <w:pPr>
              <w:snapToGrid w:val="0"/>
              <w:spacing w:line="276" w:lineRule="auto"/>
              <w:jc w:val="left"/>
              <w:rPr>
                <w:rFonts w:ascii="宋体" w:hAnsi="宋体" w:eastAsia="宋体"/>
                <w:szCs w:val="21"/>
                <w:highlight w:val="none"/>
              </w:rPr>
            </w:pPr>
            <w:r>
              <w:rPr>
                <w:rFonts w:ascii="宋体" w:hAnsi="宋体" w:eastAsia="宋体"/>
                <w:szCs w:val="21"/>
                <w:highlight w:val="none"/>
              </w:rPr>
              <w:t>投标文件全部采用</w:t>
            </w:r>
            <w:r>
              <w:rPr>
                <w:rFonts w:hint="eastAsia" w:ascii="宋体" w:hAnsi="宋体" w:eastAsia="宋体"/>
                <w:szCs w:val="21"/>
                <w:highlight w:val="none"/>
              </w:rPr>
              <w:t>纸质</w:t>
            </w:r>
            <w:r>
              <w:rPr>
                <w:rFonts w:ascii="宋体" w:hAnsi="宋体" w:eastAsia="宋体"/>
                <w:szCs w:val="21"/>
                <w:highlight w:val="none"/>
              </w:rPr>
              <w:t>文档，投标文件所附证书证件均为原件扫描件，按招标文件要求在相应位置加盖公章。</w:t>
            </w:r>
          </w:p>
        </w:tc>
      </w:tr>
      <w:tr w14:paraId="305BE3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612DDD10">
            <w:pPr>
              <w:snapToGrid w:val="0"/>
              <w:spacing w:line="276" w:lineRule="auto"/>
              <w:jc w:val="center"/>
              <w:rPr>
                <w:rFonts w:ascii="宋体" w:hAnsi="宋体" w:eastAsia="宋体"/>
                <w:szCs w:val="21"/>
                <w:highlight w:val="none"/>
              </w:rPr>
            </w:pPr>
            <w:r>
              <w:rPr>
                <w:rFonts w:ascii="宋体" w:hAnsi="宋体" w:eastAsia="宋体"/>
                <w:szCs w:val="21"/>
                <w:highlight w:val="none"/>
              </w:rPr>
              <w:t>4.1.1（A）</w:t>
            </w:r>
          </w:p>
        </w:tc>
        <w:tc>
          <w:tcPr>
            <w:tcW w:w="2100" w:type="dxa"/>
            <w:vAlign w:val="center"/>
          </w:tcPr>
          <w:p w14:paraId="39C24B12">
            <w:pPr>
              <w:snapToGrid w:val="0"/>
              <w:spacing w:line="276" w:lineRule="auto"/>
              <w:jc w:val="center"/>
              <w:rPr>
                <w:rFonts w:ascii="宋体" w:hAnsi="宋体" w:eastAsia="宋体"/>
                <w:szCs w:val="21"/>
                <w:highlight w:val="none"/>
              </w:rPr>
            </w:pPr>
            <w:r>
              <w:rPr>
                <w:rFonts w:ascii="宋体" w:hAnsi="宋体" w:eastAsia="宋体"/>
                <w:szCs w:val="21"/>
                <w:highlight w:val="none"/>
              </w:rPr>
              <w:t>投标文件密封包装</w:t>
            </w:r>
          </w:p>
        </w:tc>
        <w:tc>
          <w:tcPr>
            <w:tcW w:w="6909" w:type="dxa"/>
            <w:vAlign w:val="center"/>
          </w:tcPr>
          <w:p w14:paraId="01DC0ADB">
            <w:pPr>
              <w:snapToGrid w:val="0"/>
              <w:spacing w:line="276" w:lineRule="auto"/>
              <w:rPr>
                <w:rFonts w:ascii="宋体" w:hAnsi="宋体" w:eastAsia="宋体"/>
                <w:szCs w:val="21"/>
                <w:highlight w:val="none"/>
              </w:rPr>
            </w:pPr>
            <w:r>
              <w:rPr>
                <w:rFonts w:ascii="宋体" w:hAnsi="宋体" w:eastAsia="宋体"/>
                <w:szCs w:val="21"/>
                <w:highlight w:val="none"/>
              </w:rPr>
              <w:t>密封包装为</w:t>
            </w:r>
            <w:r>
              <w:rPr>
                <w:rFonts w:hint="eastAsia" w:ascii="宋体" w:hAnsi="宋体" w:eastAsia="宋体"/>
                <w:szCs w:val="21"/>
                <w:highlight w:val="none"/>
              </w:rPr>
              <w:t>1个</w:t>
            </w:r>
          </w:p>
        </w:tc>
      </w:tr>
      <w:tr w14:paraId="3D08AD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52556C99">
            <w:pPr>
              <w:snapToGrid w:val="0"/>
              <w:spacing w:line="276" w:lineRule="auto"/>
              <w:jc w:val="center"/>
              <w:rPr>
                <w:rFonts w:ascii="宋体" w:hAnsi="宋体" w:eastAsia="宋体"/>
                <w:szCs w:val="21"/>
                <w:highlight w:val="none"/>
              </w:rPr>
            </w:pPr>
            <w:r>
              <w:rPr>
                <w:rFonts w:ascii="宋体" w:hAnsi="宋体" w:eastAsia="宋体"/>
                <w:szCs w:val="21"/>
                <w:highlight w:val="none"/>
              </w:rPr>
              <w:t>4.1.1（B）</w:t>
            </w:r>
          </w:p>
        </w:tc>
        <w:tc>
          <w:tcPr>
            <w:tcW w:w="2100" w:type="dxa"/>
            <w:vAlign w:val="center"/>
          </w:tcPr>
          <w:p w14:paraId="1AD736E0">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投标文件加密要求</w:t>
            </w:r>
          </w:p>
        </w:tc>
        <w:tc>
          <w:tcPr>
            <w:tcW w:w="6909" w:type="dxa"/>
            <w:vAlign w:val="center"/>
          </w:tcPr>
          <w:p w14:paraId="2902C6CB">
            <w:pPr>
              <w:pStyle w:val="8"/>
              <w:topLinePunct/>
              <w:snapToGrid w:val="0"/>
              <w:spacing w:line="276" w:lineRule="auto"/>
              <w:rPr>
                <w:rFonts w:hAnsi="宋体"/>
                <w:sz w:val="21"/>
                <w:szCs w:val="21"/>
                <w:highlight w:val="none"/>
              </w:rPr>
            </w:pPr>
            <w:r>
              <w:rPr>
                <w:rFonts w:hint="eastAsia" w:hAnsi="宋体"/>
                <w:szCs w:val="21"/>
                <w:highlight w:val="none"/>
              </w:rPr>
              <w:t>本项目不适用。</w:t>
            </w:r>
          </w:p>
        </w:tc>
      </w:tr>
      <w:tr w14:paraId="36A811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13" w:hRule="atLeast"/>
        </w:trPr>
        <w:tc>
          <w:tcPr>
            <w:tcW w:w="945" w:type="dxa"/>
            <w:vAlign w:val="center"/>
          </w:tcPr>
          <w:p w14:paraId="2EA3A770">
            <w:pPr>
              <w:snapToGrid w:val="0"/>
              <w:spacing w:line="276" w:lineRule="auto"/>
              <w:jc w:val="center"/>
              <w:rPr>
                <w:rFonts w:ascii="宋体" w:hAnsi="宋体" w:eastAsia="宋体"/>
                <w:szCs w:val="21"/>
                <w:highlight w:val="none"/>
              </w:rPr>
            </w:pPr>
            <w:r>
              <w:rPr>
                <w:rFonts w:ascii="宋体" w:hAnsi="宋体" w:eastAsia="宋体"/>
                <w:szCs w:val="21"/>
                <w:highlight w:val="none"/>
              </w:rPr>
              <w:t>4.1.2</w:t>
            </w:r>
          </w:p>
        </w:tc>
        <w:tc>
          <w:tcPr>
            <w:tcW w:w="2100" w:type="dxa"/>
            <w:vAlign w:val="center"/>
          </w:tcPr>
          <w:p w14:paraId="623C67B8">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封套上应载明的信息</w:t>
            </w:r>
          </w:p>
        </w:tc>
        <w:tc>
          <w:tcPr>
            <w:tcW w:w="6909" w:type="dxa"/>
            <w:vAlign w:val="center"/>
          </w:tcPr>
          <w:p w14:paraId="53555B64">
            <w:pPr>
              <w:pStyle w:val="8"/>
              <w:topLinePunct/>
              <w:snapToGrid w:val="0"/>
              <w:spacing w:line="276" w:lineRule="auto"/>
              <w:rPr>
                <w:rFonts w:hAnsi="宋体"/>
                <w:sz w:val="21"/>
                <w:szCs w:val="21"/>
                <w:highlight w:val="none"/>
              </w:rPr>
            </w:pPr>
            <w:r>
              <w:rPr>
                <w:rFonts w:hint="eastAsia" w:hAnsi="宋体"/>
                <w:sz w:val="21"/>
                <w:szCs w:val="21"/>
                <w:highlight w:val="none"/>
              </w:rPr>
              <w:t>招标人名称：</w:t>
            </w:r>
            <w:r>
              <w:rPr>
                <w:rFonts w:hAnsi="宋体"/>
                <w:sz w:val="21"/>
                <w:szCs w:val="21"/>
                <w:highlight w:val="none"/>
                <w:u w:val="single"/>
              </w:rPr>
              <w:t xml:space="preserve">                </w:t>
            </w:r>
          </w:p>
          <w:p w14:paraId="643E7822">
            <w:pPr>
              <w:pStyle w:val="8"/>
              <w:topLinePunct/>
              <w:snapToGrid w:val="0"/>
              <w:spacing w:line="276" w:lineRule="auto"/>
              <w:rPr>
                <w:rFonts w:hAnsi="宋体"/>
                <w:sz w:val="21"/>
                <w:szCs w:val="21"/>
                <w:highlight w:val="none"/>
              </w:rPr>
            </w:pPr>
            <w:r>
              <w:rPr>
                <w:rFonts w:hint="eastAsia" w:hAnsi="宋体"/>
                <w:sz w:val="21"/>
                <w:szCs w:val="21"/>
                <w:highlight w:val="none"/>
              </w:rPr>
              <w:t>招标人地址：</w:t>
            </w:r>
            <w:r>
              <w:rPr>
                <w:rFonts w:hAnsi="宋体"/>
                <w:sz w:val="21"/>
                <w:szCs w:val="21"/>
                <w:highlight w:val="none"/>
                <w:u w:val="single"/>
              </w:rPr>
              <w:t xml:space="preserve">                </w:t>
            </w:r>
          </w:p>
          <w:p w14:paraId="56C934C1">
            <w:pPr>
              <w:pStyle w:val="8"/>
              <w:topLinePunct/>
              <w:snapToGrid w:val="0"/>
              <w:spacing w:line="276" w:lineRule="auto"/>
              <w:rPr>
                <w:rFonts w:hAnsi="宋体"/>
                <w:sz w:val="21"/>
                <w:szCs w:val="21"/>
                <w:highlight w:val="none"/>
              </w:rPr>
            </w:pPr>
            <w:r>
              <w:rPr>
                <w:rFonts w:hAnsi="宋体"/>
                <w:sz w:val="21"/>
                <w:szCs w:val="21"/>
                <w:highlight w:val="none"/>
                <w:u w:val="single"/>
              </w:rPr>
              <w:t xml:space="preserve">                    （项目名称）</w:t>
            </w:r>
            <w:r>
              <w:rPr>
                <w:rFonts w:hint="eastAsia" w:hAnsi="宋体"/>
                <w:sz w:val="21"/>
                <w:szCs w:val="21"/>
                <w:highlight w:val="none"/>
              </w:rPr>
              <w:t>投标文件</w:t>
            </w:r>
          </w:p>
          <w:p w14:paraId="6A052573">
            <w:pPr>
              <w:pStyle w:val="8"/>
              <w:topLinePunct/>
              <w:snapToGrid w:val="0"/>
              <w:spacing w:line="276" w:lineRule="auto"/>
              <w:rPr>
                <w:rFonts w:hAnsi="宋体"/>
                <w:sz w:val="21"/>
                <w:szCs w:val="21"/>
                <w:highlight w:val="none"/>
              </w:rPr>
            </w:pPr>
            <w:r>
              <w:rPr>
                <w:rFonts w:hint="eastAsia" w:hAnsi="宋体"/>
                <w:sz w:val="21"/>
                <w:szCs w:val="21"/>
                <w:highlight w:val="none"/>
              </w:rPr>
              <w:t>招标项目编号：</w:t>
            </w:r>
            <w:r>
              <w:rPr>
                <w:rFonts w:hAnsi="宋体"/>
                <w:sz w:val="21"/>
                <w:szCs w:val="21"/>
                <w:highlight w:val="none"/>
                <w:u w:val="single"/>
              </w:rPr>
              <w:t xml:space="preserve">          </w:t>
            </w:r>
          </w:p>
          <w:p w14:paraId="109E448A">
            <w:pPr>
              <w:snapToGrid w:val="0"/>
              <w:spacing w:line="276" w:lineRule="auto"/>
              <w:rPr>
                <w:rFonts w:ascii="宋体" w:hAnsi="宋体" w:eastAsia="宋体"/>
                <w:szCs w:val="21"/>
                <w:highlight w:val="none"/>
              </w:rPr>
            </w:pPr>
            <w:r>
              <w:rPr>
                <w:rFonts w:hint="eastAsia" w:ascii="宋体" w:hAnsi="宋体" w:eastAsia="宋体"/>
                <w:szCs w:val="21"/>
                <w:highlight w:val="none"/>
              </w:rPr>
              <w:t>在</w:t>
            </w:r>
            <w:r>
              <w:rPr>
                <w:rFonts w:ascii="宋体" w:hAnsi="宋体" w:eastAsia="宋体"/>
                <w:szCs w:val="21"/>
                <w:highlight w:val="none"/>
                <w:u w:val="single"/>
              </w:rPr>
              <w:t xml:space="preserve">   年   月    日    时    </w:t>
            </w:r>
            <w:r>
              <w:rPr>
                <w:rFonts w:hint="eastAsia" w:ascii="宋体" w:hAnsi="宋体" w:eastAsia="宋体"/>
                <w:szCs w:val="21"/>
                <w:highlight w:val="none"/>
                <w:u w:val="single"/>
              </w:rPr>
              <w:t>分前不得开启（填入开标时间）</w:t>
            </w:r>
          </w:p>
        </w:tc>
      </w:tr>
      <w:tr w14:paraId="6CE4E0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61EFEFED">
            <w:pPr>
              <w:snapToGrid w:val="0"/>
              <w:spacing w:line="276" w:lineRule="auto"/>
              <w:jc w:val="center"/>
              <w:rPr>
                <w:rFonts w:ascii="宋体" w:hAnsi="宋体" w:eastAsia="宋体"/>
                <w:szCs w:val="21"/>
                <w:highlight w:val="none"/>
              </w:rPr>
            </w:pPr>
            <w:r>
              <w:rPr>
                <w:rFonts w:ascii="宋体" w:hAnsi="宋体" w:eastAsia="宋体"/>
                <w:szCs w:val="21"/>
                <w:highlight w:val="none"/>
              </w:rPr>
              <w:t>4.2.1</w:t>
            </w:r>
          </w:p>
        </w:tc>
        <w:tc>
          <w:tcPr>
            <w:tcW w:w="2100" w:type="dxa"/>
            <w:vAlign w:val="center"/>
          </w:tcPr>
          <w:p w14:paraId="62F466FF">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投标截止时间</w:t>
            </w:r>
          </w:p>
        </w:tc>
        <w:tc>
          <w:tcPr>
            <w:tcW w:w="6909" w:type="dxa"/>
            <w:vAlign w:val="center"/>
          </w:tcPr>
          <w:p w14:paraId="584012AB">
            <w:pPr>
              <w:snapToGrid w:val="0"/>
              <w:spacing w:line="276" w:lineRule="auto"/>
              <w:rPr>
                <w:rFonts w:ascii="宋体" w:hAnsi="宋体" w:eastAsia="宋体"/>
                <w:szCs w:val="21"/>
                <w:highlight w:val="none"/>
              </w:rPr>
            </w:pPr>
            <w:r>
              <w:rPr>
                <w:rFonts w:hint="eastAsia" w:ascii="宋体" w:hAnsi="宋体" w:eastAsia="宋体"/>
                <w:szCs w:val="21"/>
                <w:highlight w:val="none"/>
                <w:u w:val="single"/>
              </w:rPr>
              <w:t>2025</w:t>
            </w:r>
            <w:r>
              <w:rPr>
                <w:rFonts w:ascii="宋体" w:hAnsi="宋体" w:eastAsia="宋体"/>
                <w:szCs w:val="21"/>
                <w:highlight w:val="none"/>
                <w:u w:val="single"/>
              </w:rPr>
              <w:t xml:space="preserve"> 年</w:t>
            </w:r>
            <w:r>
              <w:rPr>
                <w:rFonts w:hint="eastAsia" w:ascii="宋体" w:hAnsi="宋体" w:eastAsia="宋体"/>
                <w:szCs w:val="21"/>
                <w:highlight w:val="none"/>
                <w:u w:val="single"/>
                <w:lang w:val="en-US" w:eastAsia="zh-CN"/>
              </w:rPr>
              <w:t>12</w:t>
            </w:r>
            <w:r>
              <w:rPr>
                <w:rFonts w:ascii="宋体" w:hAnsi="宋体" w:eastAsia="宋体"/>
                <w:szCs w:val="21"/>
                <w:highlight w:val="none"/>
                <w:u w:val="single"/>
              </w:rPr>
              <w:t xml:space="preserve"> 月</w:t>
            </w:r>
            <w:r>
              <w:rPr>
                <w:rFonts w:hint="eastAsia" w:ascii="宋体" w:hAnsi="宋体" w:eastAsia="宋体"/>
                <w:szCs w:val="21"/>
                <w:highlight w:val="none"/>
                <w:u w:val="single"/>
                <w:lang w:val="en-US" w:eastAsia="zh-CN"/>
              </w:rPr>
              <w:t>4</w:t>
            </w:r>
            <w:r>
              <w:rPr>
                <w:rFonts w:ascii="宋体" w:hAnsi="宋体" w:eastAsia="宋体"/>
                <w:szCs w:val="21"/>
                <w:highlight w:val="none"/>
                <w:u w:val="single"/>
              </w:rPr>
              <w:t xml:space="preserve"> 日 </w:t>
            </w:r>
            <w:r>
              <w:rPr>
                <w:rFonts w:hint="eastAsia" w:ascii="宋体" w:hAnsi="宋体" w:eastAsia="宋体"/>
                <w:szCs w:val="21"/>
                <w:highlight w:val="none"/>
                <w:u w:val="single"/>
              </w:rPr>
              <w:t>9</w:t>
            </w:r>
            <w:r>
              <w:rPr>
                <w:rFonts w:ascii="宋体" w:hAnsi="宋体" w:eastAsia="宋体"/>
                <w:szCs w:val="21"/>
                <w:highlight w:val="none"/>
                <w:u w:val="single"/>
              </w:rPr>
              <w:t xml:space="preserve"> 时</w:t>
            </w:r>
            <w:r>
              <w:rPr>
                <w:rFonts w:hint="eastAsia" w:ascii="宋体" w:hAnsi="宋体" w:eastAsia="宋体"/>
                <w:szCs w:val="21"/>
                <w:highlight w:val="none"/>
                <w:u w:val="single"/>
                <w:lang w:val="en-US" w:eastAsia="zh-CN"/>
              </w:rPr>
              <w:t>20</w:t>
            </w:r>
            <w:bookmarkStart w:id="477" w:name="_GoBack"/>
            <w:bookmarkEnd w:id="477"/>
            <w:r>
              <w:rPr>
                <w:rFonts w:ascii="宋体" w:hAnsi="宋体" w:eastAsia="宋体"/>
                <w:szCs w:val="21"/>
                <w:highlight w:val="none"/>
                <w:u w:val="single"/>
              </w:rPr>
              <w:t xml:space="preserve"> 分</w:t>
            </w:r>
            <w:r>
              <w:rPr>
                <w:rFonts w:hint="eastAsia" w:ascii="宋体" w:hAnsi="宋体" w:eastAsia="宋体"/>
                <w:szCs w:val="21"/>
                <w:highlight w:val="none"/>
              </w:rPr>
              <w:t>（北京时间）</w:t>
            </w:r>
          </w:p>
          <w:p w14:paraId="54546B7F">
            <w:pPr>
              <w:snapToGrid w:val="0"/>
              <w:spacing w:line="276" w:lineRule="auto"/>
              <w:rPr>
                <w:rFonts w:ascii="宋体" w:hAnsi="宋体" w:eastAsia="宋体"/>
                <w:szCs w:val="21"/>
                <w:highlight w:val="none"/>
              </w:rPr>
            </w:pPr>
            <w:r>
              <w:rPr>
                <w:rFonts w:hint="eastAsia" w:ascii="宋体" w:hAnsi="宋体" w:eastAsia="宋体"/>
                <w:szCs w:val="21"/>
                <w:highlight w:val="none"/>
              </w:rPr>
              <w:t>详见广州建筑工程监理有限公司网站信息。</w:t>
            </w:r>
          </w:p>
        </w:tc>
      </w:tr>
      <w:tr w14:paraId="4D9002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945" w:type="dxa"/>
            <w:vAlign w:val="center"/>
          </w:tcPr>
          <w:p w14:paraId="2F3BF0AE">
            <w:pPr>
              <w:snapToGrid w:val="0"/>
              <w:spacing w:line="276" w:lineRule="auto"/>
              <w:jc w:val="center"/>
              <w:rPr>
                <w:rFonts w:ascii="宋体" w:hAnsi="宋体" w:eastAsia="宋体"/>
                <w:szCs w:val="21"/>
                <w:highlight w:val="none"/>
              </w:rPr>
            </w:pPr>
            <w:r>
              <w:rPr>
                <w:rFonts w:ascii="宋体" w:hAnsi="宋体" w:eastAsia="宋体"/>
                <w:szCs w:val="21"/>
                <w:highlight w:val="none"/>
              </w:rPr>
              <w:t>4.2.2（A）</w:t>
            </w:r>
          </w:p>
        </w:tc>
        <w:tc>
          <w:tcPr>
            <w:tcW w:w="2100" w:type="dxa"/>
            <w:vAlign w:val="center"/>
          </w:tcPr>
          <w:p w14:paraId="4249E74B">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递交投标文件地点</w:t>
            </w:r>
          </w:p>
        </w:tc>
        <w:tc>
          <w:tcPr>
            <w:tcW w:w="6909" w:type="dxa"/>
            <w:vAlign w:val="center"/>
          </w:tcPr>
          <w:p w14:paraId="350B8D97">
            <w:pPr>
              <w:snapToGrid w:val="0"/>
              <w:spacing w:line="276" w:lineRule="auto"/>
              <w:rPr>
                <w:rFonts w:ascii="宋体" w:hAnsi="宋体" w:eastAsia="宋体"/>
                <w:szCs w:val="21"/>
                <w:highlight w:val="none"/>
              </w:rPr>
            </w:pPr>
            <w:r>
              <w:rPr>
                <w:rFonts w:hint="eastAsia" w:ascii="宋体" w:hAnsi="宋体" w:eastAsia="宋体"/>
                <w:szCs w:val="21"/>
                <w:highlight w:val="none"/>
                <w:u w:val="single"/>
                <w:lang w:val="zh-TW" w:eastAsia="zh-TW"/>
              </w:rPr>
              <w:t>广州市</w:t>
            </w:r>
            <w:r>
              <w:rPr>
                <w:rFonts w:hint="eastAsia" w:ascii="宋体" w:hAnsi="宋体" w:eastAsia="宋体"/>
                <w:szCs w:val="21"/>
                <w:highlight w:val="none"/>
                <w:u w:val="single"/>
                <w:lang w:val="zh-TW"/>
              </w:rPr>
              <w:t>越秀</w:t>
            </w:r>
            <w:r>
              <w:rPr>
                <w:rFonts w:hint="eastAsia" w:ascii="宋体" w:hAnsi="宋体" w:eastAsia="宋体"/>
                <w:szCs w:val="21"/>
                <w:highlight w:val="none"/>
                <w:u w:val="single"/>
                <w:lang w:val="zh-TW" w:eastAsia="zh-TW"/>
              </w:rPr>
              <w:t>区</w:t>
            </w:r>
            <w:r>
              <w:rPr>
                <w:rFonts w:hint="eastAsia" w:ascii="宋体" w:hAnsi="宋体" w:eastAsia="宋体"/>
                <w:szCs w:val="21"/>
                <w:highlight w:val="none"/>
                <w:u w:val="single"/>
                <w:lang w:val="zh-TW"/>
              </w:rPr>
              <w:t>广卫</w:t>
            </w:r>
            <w:r>
              <w:rPr>
                <w:rFonts w:hint="eastAsia" w:ascii="宋体" w:hAnsi="宋体" w:eastAsia="宋体"/>
                <w:szCs w:val="21"/>
                <w:highlight w:val="none"/>
                <w:u w:val="single"/>
                <w:lang w:val="zh-TW" w:eastAsia="zh-TW"/>
              </w:rPr>
              <w:t>路</w:t>
            </w:r>
            <w:r>
              <w:rPr>
                <w:rFonts w:hint="eastAsia" w:ascii="宋体" w:hAnsi="宋体" w:eastAsia="宋体"/>
                <w:szCs w:val="21"/>
                <w:highlight w:val="none"/>
                <w:u w:val="single"/>
                <w:lang w:val="zh-TW"/>
              </w:rPr>
              <w:t>4</w:t>
            </w:r>
            <w:r>
              <w:rPr>
                <w:rFonts w:hint="eastAsia" w:ascii="宋体" w:hAnsi="宋体" w:eastAsia="宋体"/>
                <w:szCs w:val="21"/>
                <w:highlight w:val="none"/>
                <w:u w:val="single"/>
                <w:lang w:val="zh-TW" w:eastAsia="zh-TW"/>
              </w:rPr>
              <w:t>号</w:t>
            </w:r>
            <w:r>
              <w:rPr>
                <w:rFonts w:hint="eastAsia" w:ascii="宋体" w:hAnsi="宋体" w:eastAsia="宋体"/>
                <w:szCs w:val="21"/>
                <w:highlight w:val="none"/>
                <w:u w:val="single"/>
                <w:lang w:val="zh-TW"/>
              </w:rPr>
              <w:t>20楼会议室</w:t>
            </w:r>
          </w:p>
        </w:tc>
      </w:tr>
      <w:tr w14:paraId="4B1ADE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14:paraId="35BFE8F9">
            <w:pPr>
              <w:snapToGrid w:val="0"/>
              <w:spacing w:line="276" w:lineRule="auto"/>
              <w:jc w:val="center"/>
              <w:rPr>
                <w:rFonts w:ascii="宋体" w:hAnsi="宋体" w:eastAsia="宋体"/>
                <w:szCs w:val="21"/>
                <w:highlight w:val="none"/>
              </w:rPr>
            </w:pPr>
            <w:r>
              <w:rPr>
                <w:rFonts w:ascii="宋体" w:hAnsi="宋体" w:eastAsia="宋体"/>
                <w:szCs w:val="21"/>
                <w:highlight w:val="none"/>
              </w:rPr>
              <w:t>4.2.3</w:t>
            </w:r>
          </w:p>
        </w:tc>
        <w:tc>
          <w:tcPr>
            <w:tcW w:w="2100" w:type="dxa"/>
            <w:vAlign w:val="center"/>
          </w:tcPr>
          <w:p w14:paraId="0721B047">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投标文件是否退还</w:t>
            </w:r>
          </w:p>
        </w:tc>
        <w:tc>
          <w:tcPr>
            <w:tcW w:w="6909" w:type="dxa"/>
            <w:vAlign w:val="center"/>
          </w:tcPr>
          <w:p w14:paraId="2CE5EA60">
            <w:pPr>
              <w:pStyle w:val="8"/>
              <w:topLinePunct/>
              <w:spacing w:line="276" w:lineRule="auto"/>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否</w:t>
            </w:r>
          </w:p>
          <w:p w14:paraId="027F14CD">
            <w:pPr>
              <w:pStyle w:val="8"/>
              <w:topLinePunct/>
              <w:spacing w:line="276" w:lineRule="auto"/>
              <w:rPr>
                <w:rFonts w:hAnsi="宋体"/>
                <w:sz w:val="21"/>
                <w:szCs w:val="21"/>
                <w:highlight w:val="none"/>
              </w:rPr>
            </w:pPr>
            <w:r>
              <w:rPr>
                <w:rFonts w:hint="eastAsia" w:hAnsi="宋体"/>
                <w:sz w:val="21"/>
                <w:szCs w:val="21"/>
                <w:highlight w:val="none"/>
              </w:rPr>
              <w:t>□</w:t>
            </w:r>
            <w:r>
              <w:rPr>
                <w:rFonts w:hAnsi="宋体"/>
                <w:sz w:val="21"/>
                <w:szCs w:val="21"/>
                <w:highlight w:val="none"/>
              </w:rPr>
              <w:t xml:space="preserve"> </w:t>
            </w:r>
            <w:r>
              <w:rPr>
                <w:rFonts w:hint="eastAsia" w:hAnsi="宋体"/>
                <w:sz w:val="21"/>
                <w:szCs w:val="21"/>
                <w:highlight w:val="none"/>
              </w:rPr>
              <w:t>是，退还时间：</w:t>
            </w:r>
          </w:p>
        </w:tc>
      </w:tr>
      <w:tr w14:paraId="18041C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14:paraId="3AAED335">
            <w:pPr>
              <w:snapToGrid w:val="0"/>
              <w:spacing w:line="276" w:lineRule="auto"/>
              <w:jc w:val="center"/>
              <w:rPr>
                <w:rFonts w:ascii="宋体" w:hAnsi="宋体" w:eastAsia="宋体"/>
                <w:szCs w:val="21"/>
                <w:highlight w:val="none"/>
              </w:rPr>
            </w:pPr>
            <w:r>
              <w:rPr>
                <w:rFonts w:ascii="宋体" w:hAnsi="宋体" w:eastAsia="宋体"/>
                <w:szCs w:val="21"/>
                <w:highlight w:val="none"/>
              </w:rPr>
              <w:t>4.2.4</w:t>
            </w:r>
            <w:r>
              <w:rPr>
                <w:rFonts w:hint="eastAsia" w:ascii="宋体" w:hAnsi="宋体" w:eastAsia="宋体"/>
                <w:szCs w:val="21"/>
                <w:highlight w:val="none"/>
              </w:rPr>
              <w:t>（</w:t>
            </w:r>
            <w:r>
              <w:rPr>
                <w:rFonts w:ascii="宋体" w:hAnsi="宋体" w:eastAsia="宋体"/>
                <w:szCs w:val="21"/>
                <w:highlight w:val="none"/>
              </w:rPr>
              <w:t>A</w:t>
            </w:r>
            <w:r>
              <w:rPr>
                <w:rFonts w:hint="eastAsia" w:ascii="宋体" w:hAnsi="宋体" w:eastAsia="宋体"/>
                <w:szCs w:val="21"/>
                <w:highlight w:val="none"/>
              </w:rPr>
              <w:t>）</w:t>
            </w:r>
          </w:p>
        </w:tc>
        <w:tc>
          <w:tcPr>
            <w:tcW w:w="2100" w:type="dxa"/>
            <w:vAlign w:val="center"/>
          </w:tcPr>
          <w:p w14:paraId="39669AC1">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招标人收到投标文件后，向投标人出具签收凭证。</w:t>
            </w:r>
          </w:p>
        </w:tc>
        <w:tc>
          <w:tcPr>
            <w:tcW w:w="6909" w:type="dxa"/>
            <w:vAlign w:val="center"/>
          </w:tcPr>
          <w:p w14:paraId="7E134ED5">
            <w:pPr>
              <w:snapToGrid w:val="0"/>
              <w:spacing w:line="276" w:lineRule="auto"/>
              <w:rPr>
                <w:rFonts w:ascii="宋体" w:hAnsi="宋体" w:eastAsia="宋体"/>
                <w:szCs w:val="21"/>
                <w:highlight w:val="none"/>
              </w:rPr>
            </w:pPr>
            <w:r>
              <w:rPr>
                <w:rFonts w:hint="eastAsia" w:ascii="宋体" w:hAnsi="宋体" w:eastAsia="宋体"/>
                <w:szCs w:val="21"/>
                <w:highlight w:val="none"/>
              </w:rPr>
              <w:t>本项目不适用。</w:t>
            </w:r>
          </w:p>
        </w:tc>
      </w:tr>
      <w:tr w14:paraId="3D7950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945" w:type="dxa"/>
            <w:vAlign w:val="center"/>
          </w:tcPr>
          <w:p w14:paraId="2F255B2C">
            <w:pPr>
              <w:snapToGrid w:val="0"/>
              <w:spacing w:line="276" w:lineRule="auto"/>
              <w:jc w:val="center"/>
              <w:rPr>
                <w:rFonts w:ascii="宋体" w:hAnsi="宋体" w:eastAsia="宋体"/>
                <w:szCs w:val="21"/>
                <w:highlight w:val="none"/>
              </w:rPr>
            </w:pPr>
            <w:r>
              <w:rPr>
                <w:rFonts w:ascii="宋体" w:hAnsi="宋体" w:eastAsia="宋体"/>
                <w:szCs w:val="21"/>
                <w:highlight w:val="none"/>
              </w:rPr>
              <w:t>4.3</w:t>
            </w:r>
          </w:p>
        </w:tc>
        <w:tc>
          <w:tcPr>
            <w:tcW w:w="2100" w:type="dxa"/>
            <w:vAlign w:val="center"/>
          </w:tcPr>
          <w:p w14:paraId="1B016E34">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投标文件的修改与撤回</w:t>
            </w:r>
          </w:p>
        </w:tc>
        <w:tc>
          <w:tcPr>
            <w:tcW w:w="6909" w:type="dxa"/>
            <w:vAlign w:val="center"/>
          </w:tcPr>
          <w:p w14:paraId="228AEC2D">
            <w:pPr>
              <w:pStyle w:val="8"/>
              <w:topLinePunct/>
              <w:snapToGrid w:val="0"/>
              <w:spacing w:line="276" w:lineRule="auto"/>
              <w:ind w:right="174" w:rightChars="83"/>
              <w:rPr>
                <w:rFonts w:hAnsi="宋体"/>
                <w:szCs w:val="21"/>
                <w:highlight w:val="none"/>
              </w:rPr>
            </w:pPr>
            <w:r>
              <w:rPr>
                <w:rFonts w:hint="eastAsia" w:hAnsi="宋体"/>
                <w:sz w:val="21"/>
                <w:szCs w:val="21"/>
                <w:highlight w:val="none"/>
              </w:rPr>
              <w:t>投标人修改或撤回已递交的投标文件，需要向招标人发出撤回通知，并按要求加盖公章。</w:t>
            </w:r>
          </w:p>
        </w:tc>
      </w:tr>
      <w:tr w14:paraId="688C82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945" w:type="dxa"/>
            <w:vAlign w:val="center"/>
          </w:tcPr>
          <w:p w14:paraId="1F2916AB">
            <w:pPr>
              <w:snapToGrid w:val="0"/>
              <w:spacing w:line="276" w:lineRule="auto"/>
              <w:jc w:val="center"/>
              <w:rPr>
                <w:rFonts w:ascii="宋体" w:hAnsi="宋体" w:eastAsia="宋体"/>
                <w:szCs w:val="21"/>
                <w:highlight w:val="none"/>
              </w:rPr>
            </w:pPr>
            <w:r>
              <w:rPr>
                <w:rFonts w:ascii="宋体" w:hAnsi="宋体" w:eastAsia="宋体"/>
                <w:szCs w:val="21"/>
                <w:highlight w:val="none"/>
              </w:rPr>
              <w:t>5.1</w:t>
            </w:r>
            <w:r>
              <w:rPr>
                <w:rFonts w:hint="eastAsia" w:ascii="宋体" w:hAnsi="宋体" w:eastAsia="宋体"/>
                <w:szCs w:val="21"/>
                <w:highlight w:val="none"/>
              </w:rPr>
              <w:t>（</w:t>
            </w:r>
            <w:r>
              <w:rPr>
                <w:rFonts w:ascii="宋体" w:hAnsi="宋体" w:eastAsia="宋体"/>
                <w:szCs w:val="21"/>
                <w:highlight w:val="none"/>
              </w:rPr>
              <w:t>A</w:t>
            </w:r>
            <w:r>
              <w:rPr>
                <w:rFonts w:hint="eastAsia" w:ascii="宋体" w:hAnsi="宋体" w:eastAsia="宋体"/>
                <w:szCs w:val="21"/>
                <w:highlight w:val="none"/>
              </w:rPr>
              <w:t>）</w:t>
            </w:r>
          </w:p>
        </w:tc>
        <w:tc>
          <w:tcPr>
            <w:tcW w:w="2100" w:type="dxa"/>
            <w:vAlign w:val="center"/>
          </w:tcPr>
          <w:p w14:paraId="540B3071">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开标时间和地点</w:t>
            </w:r>
          </w:p>
        </w:tc>
        <w:tc>
          <w:tcPr>
            <w:tcW w:w="6909" w:type="dxa"/>
            <w:vAlign w:val="center"/>
          </w:tcPr>
          <w:p w14:paraId="796E23AB">
            <w:pPr>
              <w:spacing w:line="276" w:lineRule="auto"/>
              <w:rPr>
                <w:rFonts w:ascii="宋体" w:hAnsi="宋体" w:eastAsia="宋体"/>
                <w:szCs w:val="21"/>
                <w:highlight w:val="none"/>
              </w:rPr>
            </w:pPr>
            <w:r>
              <w:rPr>
                <w:rFonts w:hint="eastAsia" w:ascii="宋体" w:hAnsi="宋体" w:eastAsia="宋体"/>
                <w:szCs w:val="21"/>
                <w:highlight w:val="none"/>
              </w:rPr>
              <w:t>详见本项目招标公告。</w:t>
            </w:r>
          </w:p>
        </w:tc>
      </w:tr>
      <w:tr w14:paraId="149FA8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7B5B6FFD">
            <w:pPr>
              <w:snapToGrid w:val="0"/>
              <w:spacing w:line="276" w:lineRule="auto"/>
              <w:jc w:val="center"/>
              <w:rPr>
                <w:rFonts w:ascii="宋体" w:hAnsi="宋体" w:eastAsia="宋体"/>
                <w:szCs w:val="21"/>
                <w:highlight w:val="none"/>
              </w:rPr>
            </w:pPr>
            <w:r>
              <w:rPr>
                <w:rFonts w:ascii="宋体" w:hAnsi="宋体" w:eastAsia="宋体"/>
                <w:szCs w:val="21"/>
                <w:highlight w:val="none"/>
              </w:rPr>
              <w:t>5.2（B）</w:t>
            </w:r>
          </w:p>
        </w:tc>
        <w:tc>
          <w:tcPr>
            <w:tcW w:w="2100" w:type="dxa"/>
            <w:vAlign w:val="center"/>
          </w:tcPr>
          <w:p w14:paraId="17A217F8">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开标程序</w:t>
            </w:r>
          </w:p>
        </w:tc>
        <w:tc>
          <w:tcPr>
            <w:tcW w:w="6909" w:type="dxa"/>
            <w:vAlign w:val="center"/>
          </w:tcPr>
          <w:p w14:paraId="77B2D226">
            <w:pPr>
              <w:snapToGrid w:val="0"/>
              <w:spacing w:line="276" w:lineRule="auto"/>
              <w:rPr>
                <w:rFonts w:ascii="宋体" w:hAnsi="宋体" w:eastAsia="宋体"/>
                <w:szCs w:val="21"/>
                <w:highlight w:val="none"/>
              </w:rPr>
            </w:pPr>
            <w:r>
              <w:rPr>
                <w:rFonts w:ascii="宋体" w:hAnsi="宋体" w:eastAsia="宋体"/>
                <w:szCs w:val="21"/>
                <w:highlight w:val="none"/>
              </w:rPr>
              <w:t>5.2.1主持人按下列程序进行开标：</w:t>
            </w:r>
          </w:p>
          <w:p w14:paraId="74F13E51">
            <w:pPr>
              <w:snapToGrid w:val="0"/>
              <w:spacing w:line="276" w:lineRule="auto"/>
              <w:ind w:left="149" w:leftChars="71" w:right="149" w:rightChars="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1）宣布开标纪律；</w:t>
            </w:r>
          </w:p>
          <w:p w14:paraId="29E9295C">
            <w:pPr>
              <w:snapToGrid w:val="0"/>
              <w:spacing w:line="276" w:lineRule="auto"/>
              <w:ind w:left="149" w:leftChars="71" w:right="149" w:rightChars="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2）公布在投标截止时间前递交投标文件的投标人名称；</w:t>
            </w:r>
          </w:p>
          <w:p w14:paraId="238639E7">
            <w:pPr>
              <w:snapToGrid w:val="0"/>
              <w:spacing w:line="276" w:lineRule="auto"/>
              <w:ind w:left="149" w:leftChars="71" w:right="149" w:rightChars="71"/>
              <w:rPr>
                <w:rFonts w:ascii="宋体" w:hAnsi="宋体" w:eastAsia="宋体"/>
                <w:szCs w:val="21"/>
                <w:highlight w:val="none"/>
              </w:rPr>
            </w:pPr>
            <w:r>
              <w:rPr>
                <w:rFonts w:hint="eastAsia" w:ascii="宋体" w:hAnsi="宋体" w:eastAsia="宋体"/>
                <w:szCs w:val="21"/>
                <w:highlight w:val="none"/>
              </w:rPr>
              <w:t>（3</w:t>
            </w:r>
            <w:r>
              <w:rPr>
                <w:rFonts w:ascii="宋体" w:hAnsi="宋体" w:eastAsia="宋体"/>
                <w:szCs w:val="21"/>
                <w:highlight w:val="none"/>
              </w:rPr>
              <w:t>）按照宣布的开标顺序当众唱标，公布投标人名称、投标报价、服务期限及其他内容，并记录在案；</w:t>
            </w:r>
          </w:p>
          <w:p w14:paraId="01351B02">
            <w:pPr>
              <w:snapToGrid w:val="0"/>
              <w:spacing w:line="276" w:lineRule="auto"/>
              <w:ind w:left="149" w:leftChars="71" w:right="149" w:rightChars="71"/>
              <w:rPr>
                <w:rFonts w:ascii="宋体" w:hAnsi="宋体" w:eastAsia="宋体"/>
                <w:szCs w:val="21"/>
                <w:highlight w:val="none"/>
              </w:rPr>
            </w:pPr>
            <w:r>
              <w:rPr>
                <w:rFonts w:hint="eastAsia" w:ascii="宋体" w:hAnsi="宋体" w:eastAsia="宋体"/>
                <w:szCs w:val="21"/>
                <w:highlight w:val="none"/>
              </w:rPr>
              <w:t>（4</w:t>
            </w:r>
            <w:r>
              <w:rPr>
                <w:rFonts w:ascii="宋体" w:hAnsi="宋体" w:eastAsia="宋体"/>
                <w:szCs w:val="21"/>
                <w:highlight w:val="none"/>
              </w:rPr>
              <w:t>）投标人代表、招标人代表、监标人、记录人等有关人员在开标记录上签字确认；若有关人员不签字的，不影响开标程序；</w:t>
            </w:r>
          </w:p>
          <w:p w14:paraId="2FE3BDCB">
            <w:pPr>
              <w:snapToGrid w:val="0"/>
              <w:spacing w:line="276" w:lineRule="auto"/>
              <w:ind w:left="149" w:leftChars="71" w:right="149" w:rightChars="71"/>
              <w:rPr>
                <w:rFonts w:ascii="宋体" w:hAnsi="宋体" w:eastAsia="宋体"/>
                <w:szCs w:val="21"/>
                <w:highlight w:val="none"/>
              </w:rPr>
            </w:pPr>
            <w:r>
              <w:rPr>
                <w:rFonts w:hint="eastAsia" w:ascii="宋体" w:hAnsi="宋体" w:eastAsia="宋体"/>
                <w:szCs w:val="21"/>
                <w:highlight w:val="none"/>
              </w:rPr>
              <w:t>（5</w:t>
            </w:r>
            <w:r>
              <w:rPr>
                <w:rFonts w:ascii="宋体" w:hAnsi="宋体" w:eastAsia="宋体"/>
                <w:szCs w:val="21"/>
                <w:highlight w:val="none"/>
              </w:rPr>
              <w:t>）开标结束。</w:t>
            </w:r>
          </w:p>
          <w:p w14:paraId="491A106D">
            <w:pPr>
              <w:snapToGrid w:val="0"/>
              <w:spacing w:line="276" w:lineRule="auto"/>
              <w:ind w:left="149" w:leftChars="71" w:right="149" w:rightChars="71"/>
              <w:rPr>
                <w:rFonts w:ascii="宋体" w:hAnsi="宋体" w:eastAsia="宋体"/>
                <w:szCs w:val="21"/>
                <w:highlight w:val="none"/>
              </w:rPr>
            </w:pPr>
          </w:p>
        </w:tc>
      </w:tr>
      <w:tr w14:paraId="6CC8A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945" w:type="dxa"/>
            <w:vAlign w:val="center"/>
          </w:tcPr>
          <w:p w14:paraId="65EB416B">
            <w:pPr>
              <w:snapToGrid w:val="0"/>
              <w:spacing w:line="276" w:lineRule="auto"/>
              <w:jc w:val="center"/>
              <w:rPr>
                <w:rFonts w:ascii="宋体" w:hAnsi="宋体" w:eastAsia="宋体"/>
                <w:szCs w:val="21"/>
                <w:highlight w:val="none"/>
              </w:rPr>
            </w:pPr>
            <w:r>
              <w:rPr>
                <w:rFonts w:ascii="宋体" w:hAnsi="宋体" w:eastAsia="宋体"/>
                <w:szCs w:val="21"/>
                <w:highlight w:val="none"/>
              </w:rPr>
              <w:t>6.1.1</w:t>
            </w:r>
          </w:p>
        </w:tc>
        <w:tc>
          <w:tcPr>
            <w:tcW w:w="2100" w:type="dxa"/>
            <w:vAlign w:val="center"/>
          </w:tcPr>
          <w:p w14:paraId="3561B708">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评标委员会的组建</w:t>
            </w:r>
          </w:p>
        </w:tc>
        <w:tc>
          <w:tcPr>
            <w:tcW w:w="6909" w:type="dxa"/>
            <w:vAlign w:val="center"/>
          </w:tcPr>
          <w:p w14:paraId="2A1816D8">
            <w:pPr>
              <w:snapToGrid w:val="0"/>
              <w:spacing w:line="276" w:lineRule="auto"/>
              <w:rPr>
                <w:rFonts w:ascii="宋体" w:hAnsi="宋体" w:eastAsia="宋体"/>
                <w:szCs w:val="21"/>
                <w:highlight w:val="none"/>
              </w:rPr>
            </w:pPr>
            <w:r>
              <w:rPr>
                <w:rFonts w:hint="eastAsia" w:ascii="宋体" w:hAnsi="宋体" w:eastAsia="宋体"/>
                <w:szCs w:val="21"/>
                <w:highlight w:val="none"/>
              </w:rPr>
              <w:t>评标委员会由招标人负责组建。</w:t>
            </w:r>
          </w:p>
        </w:tc>
      </w:tr>
      <w:tr w14:paraId="10553B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69953DD5">
            <w:pPr>
              <w:snapToGrid w:val="0"/>
              <w:spacing w:line="276" w:lineRule="auto"/>
              <w:jc w:val="center"/>
              <w:rPr>
                <w:rFonts w:ascii="宋体" w:hAnsi="宋体" w:eastAsia="宋体"/>
                <w:szCs w:val="21"/>
                <w:highlight w:val="none"/>
              </w:rPr>
            </w:pPr>
            <w:r>
              <w:rPr>
                <w:rFonts w:ascii="宋体" w:hAnsi="宋体" w:eastAsia="宋体"/>
                <w:szCs w:val="21"/>
                <w:highlight w:val="none"/>
              </w:rPr>
              <w:t>6.3.2</w:t>
            </w:r>
          </w:p>
        </w:tc>
        <w:tc>
          <w:tcPr>
            <w:tcW w:w="2100" w:type="dxa"/>
            <w:vAlign w:val="center"/>
          </w:tcPr>
          <w:p w14:paraId="4BFA23EE">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评标委员会推荐中标候选人的人数</w:t>
            </w:r>
          </w:p>
        </w:tc>
        <w:tc>
          <w:tcPr>
            <w:tcW w:w="6909" w:type="dxa"/>
            <w:vAlign w:val="center"/>
          </w:tcPr>
          <w:p w14:paraId="22C84665">
            <w:pPr>
              <w:snapToGrid w:val="0"/>
              <w:spacing w:line="276" w:lineRule="auto"/>
              <w:rPr>
                <w:rFonts w:ascii="宋体" w:hAnsi="宋体" w:eastAsia="宋体"/>
                <w:szCs w:val="21"/>
                <w:highlight w:val="none"/>
              </w:rPr>
            </w:pPr>
            <w:r>
              <w:rPr>
                <w:rFonts w:hint="eastAsia" w:ascii="宋体" w:hAnsi="宋体" w:eastAsia="宋体"/>
                <w:szCs w:val="21"/>
                <w:highlight w:val="none"/>
              </w:rPr>
              <w:t>推荐的中标候选人数：</w:t>
            </w:r>
            <w:r>
              <w:rPr>
                <w:rFonts w:ascii="宋体" w:hAnsi="宋体" w:eastAsia="宋体"/>
                <w:szCs w:val="21"/>
                <w:highlight w:val="none"/>
                <w:u w:val="single"/>
              </w:rPr>
              <w:t xml:space="preserve"> 3 </w:t>
            </w:r>
            <w:r>
              <w:rPr>
                <w:rFonts w:hint="eastAsia" w:ascii="宋体" w:hAnsi="宋体" w:eastAsia="宋体"/>
                <w:szCs w:val="21"/>
                <w:highlight w:val="none"/>
              </w:rPr>
              <w:t>人。</w:t>
            </w:r>
          </w:p>
        </w:tc>
      </w:tr>
      <w:tr w14:paraId="09C68F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945" w:type="dxa"/>
            <w:vAlign w:val="center"/>
          </w:tcPr>
          <w:p w14:paraId="4C5FAAB9">
            <w:pPr>
              <w:snapToGrid w:val="0"/>
              <w:spacing w:line="276" w:lineRule="auto"/>
              <w:jc w:val="center"/>
              <w:rPr>
                <w:rFonts w:ascii="宋体" w:hAnsi="宋体" w:eastAsia="宋体"/>
                <w:szCs w:val="21"/>
                <w:highlight w:val="none"/>
              </w:rPr>
            </w:pPr>
            <w:r>
              <w:rPr>
                <w:rFonts w:ascii="宋体" w:hAnsi="宋体" w:eastAsia="宋体"/>
                <w:szCs w:val="21"/>
                <w:highlight w:val="none"/>
              </w:rPr>
              <w:t>7.1</w:t>
            </w:r>
          </w:p>
        </w:tc>
        <w:tc>
          <w:tcPr>
            <w:tcW w:w="2100" w:type="dxa"/>
            <w:vAlign w:val="center"/>
          </w:tcPr>
          <w:p w14:paraId="6FCD7F80">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中标候选人公示媒介及期限</w:t>
            </w:r>
          </w:p>
        </w:tc>
        <w:tc>
          <w:tcPr>
            <w:tcW w:w="6909" w:type="dxa"/>
            <w:vAlign w:val="center"/>
          </w:tcPr>
          <w:p w14:paraId="52465B82">
            <w:pPr>
              <w:widowControl/>
              <w:snapToGrid w:val="0"/>
              <w:spacing w:line="276" w:lineRule="auto"/>
              <w:rPr>
                <w:rFonts w:ascii="宋体" w:hAnsi="宋体" w:eastAsia="宋体"/>
                <w:szCs w:val="21"/>
                <w:highlight w:val="none"/>
                <w:u w:val="single"/>
              </w:rPr>
            </w:pPr>
            <w:r>
              <w:rPr>
                <w:rFonts w:hint="eastAsia" w:ascii="宋体" w:hAnsi="宋体" w:eastAsia="宋体"/>
                <w:szCs w:val="21"/>
                <w:highlight w:val="none"/>
              </w:rPr>
              <w:t>公示媒介：</w:t>
            </w:r>
            <w:r>
              <w:rPr>
                <w:rFonts w:hint="eastAsia" w:ascii="宋体" w:hAnsi="宋体" w:eastAsia="宋体"/>
                <w:szCs w:val="21"/>
                <w:highlight w:val="none"/>
                <w:u w:val="single"/>
              </w:rPr>
              <w:t>广州建筑工程监理有限公司网站、中国招标投标公共服务平台、</w:t>
            </w:r>
            <w:r>
              <w:rPr>
                <w:rFonts w:hint="eastAsia" w:ascii="宋体" w:hAnsi="宋体" w:eastAsia="宋体"/>
                <w:szCs w:val="21"/>
                <w:highlight w:val="none"/>
                <w:u w:val="single"/>
                <w:lang w:val="zh-TW" w:eastAsia="zh-TW"/>
              </w:rPr>
              <w:t>中国采购与招标网站</w:t>
            </w:r>
            <w:r>
              <w:rPr>
                <w:rFonts w:hint="eastAsia" w:ascii="宋体" w:hAnsi="宋体" w:eastAsia="宋体"/>
                <w:szCs w:val="21"/>
                <w:highlight w:val="none"/>
                <w:u w:val="single"/>
              </w:rPr>
              <w:t>。</w:t>
            </w:r>
          </w:p>
          <w:p w14:paraId="69F89355">
            <w:pPr>
              <w:snapToGrid w:val="0"/>
              <w:spacing w:line="276" w:lineRule="auto"/>
              <w:rPr>
                <w:rFonts w:ascii="宋体" w:hAnsi="宋体" w:eastAsia="宋体"/>
                <w:szCs w:val="21"/>
                <w:highlight w:val="none"/>
              </w:rPr>
            </w:pPr>
            <w:r>
              <w:rPr>
                <w:rFonts w:hint="eastAsia" w:ascii="宋体" w:hAnsi="宋体" w:eastAsia="宋体"/>
                <w:szCs w:val="21"/>
                <w:highlight w:val="none"/>
              </w:rPr>
              <w:t>公示期限：</w:t>
            </w:r>
            <w:r>
              <w:rPr>
                <w:rFonts w:ascii="宋体" w:hAnsi="宋体" w:eastAsia="宋体"/>
                <w:szCs w:val="21"/>
                <w:highlight w:val="none"/>
                <w:u w:val="single"/>
              </w:rPr>
              <w:t xml:space="preserve"> 3 </w:t>
            </w:r>
            <w:r>
              <w:rPr>
                <w:rFonts w:hint="eastAsia" w:ascii="宋体" w:hAnsi="宋体" w:eastAsia="宋体"/>
                <w:szCs w:val="21"/>
                <w:highlight w:val="none"/>
              </w:rPr>
              <w:t>日</w:t>
            </w:r>
          </w:p>
        </w:tc>
      </w:tr>
      <w:tr w14:paraId="72DD46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945" w:type="dxa"/>
            <w:vAlign w:val="center"/>
          </w:tcPr>
          <w:p w14:paraId="7A20A13D">
            <w:pPr>
              <w:snapToGrid w:val="0"/>
              <w:spacing w:line="276" w:lineRule="auto"/>
              <w:jc w:val="center"/>
              <w:rPr>
                <w:rFonts w:ascii="宋体" w:hAnsi="宋体" w:eastAsia="宋体"/>
                <w:szCs w:val="21"/>
                <w:highlight w:val="none"/>
              </w:rPr>
            </w:pPr>
            <w:r>
              <w:rPr>
                <w:rFonts w:ascii="宋体" w:hAnsi="宋体" w:eastAsia="宋体"/>
                <w:szCs w:val="21"/>
                <w:highlight w:val="none"/>
              </w:rPr>
              <w:t>7.4</w:t>
            </w:r>
          </w:p>
        </w:tc>
        <w:tc>
          <w:tcPr>
            <w:tcW w:w="2100" w:type="dxa"/>
            <w:vAlign w:val="center"/>
          </w:tcPr>
          <w:p w14:paraId="3129664A">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是否授权评标委员会确定中标人</w:t>
            </w:r>
          </w:p>
        </w:tc>
        <w:tc>
          <w:tcPr>
            <w:tcW w:w="6909" w:type="dxa"/>
            <w:vAlign w:val="center"/>
          </w:tcPr>
          <w:p w14:paraId="60D917A3">
            <w:pPr>
              <w:spacing w:line="276" w:lineRule="auto"/>
              <w:rPr>
                <w:rFonts w:ascii="宋体" w:hAnsi="宋体" w:eastAsia="宋体"/>
                <w:szCs w:val="21"/>
                <w:highlight w:val="none"/>
              </w:rPr>
            </w:pPr>
            <w:r>
              <w:rPr>
                <w:rFonts w:ascii="宋体" w:hAnsi="宋体" w:eastAsia="宋体"/>
                <w:szCs w:val="21"/>
                <w:highlight w:val="none"/>
              </w:rPr>
              <w:sym w:font="Wingdings" w:char="00A8"/>
            </w:r>
            <w:r>
              <w:rPr>
                <w:rFonts w:ascii="宋体" w:hAnsi="宋体" w:eastAsia="宋体"/>
                <w:szCs w:val="21"/>
                <w:highlight w:val="none"/>
              </w:rPr>
              <w:t xml:space="preserve"> </w:t>
            </w:r>
            <w:r>
              <w:rPr>
                <w:rFonts w:hint="eastAsia" w:ascii="宋体" w:hAnsi="宋体" w:eastAsia="宋体"/>
                <w:szCs w:val="21"/>
                <w:highlight w:val="none"/>
              </w:rPr>
              <w:t>是</w:t>
            </w:r>
          </w:p>
          <w:p w14:paraId="2EC56344">
            <w:pPr>
              <w:spacing w:line="276" w:lineRule="auto"/>
              <w:rPr>
                <w:rFonts w:ascii="宋体" w:hAnsi="宋体" w:eastAsia="宋体"/>
                <w:szCs w:val="21"/>
                <w:highlight w:val="none"/>
              </w:rPr>
            </w:pPr>
            <w:r>
              <w:rPr>
                <w:rFonts w:ascii="宋体" w:hAnsi="宋体" w:eastAsia="宋体"/>
                <w:szCs w:val="21"/>
                <w:highlight w:val="none"/>
              </w:rPr>
              <w:sym w:font="Wingdings" w:char="00FE"/>
            </w:r>
            <w:r>
              <w:rPr>
                <w:rFonts w:hint="eastAsia" w:ascii="宋体" w:hAnsi="宋体" w:eastAsia="宋体"/>
                <w:szCs w:val="21"/>
                <w:highlight w:val="none"/>
              </w:rPr>
              <w:t>否</w:t>
            </w:r>
          </w:p>
        </w:tc>
      </w:tr>
      <w:tr w14:paraId="5D6E57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7" w:hRule="atLeast"/>
        </w:trPr>
        <w:tc>
          <w:tcPr>
            <w:tcW w:w="945" w:type="dxa"/>
            <w:vAlign w:val="center"/>
          </w:tcPr>
          <w:p w14:paraId="5B0D5922">
            <w:pPr>
              <w:snapToGrid w:val="0"/>
              <w:spacing w:line="276" w:lineRule="auto"/>
              <w:jc w:val="center"/>
              <w:rPr>
                <w:rFonts w:ascii="宋体" w:hAnsi="宋体" w:eastAsia="宋体"/>
                <w:szCs w:val="21"/>
                <w:highlight w:val="none"/>
              </w:rPr>
            </w:pPr>
            <w:r>
              <w:rPr>
                <w:rFonts w:ascii="宋体" w:hAnsi="宋体" w:eastAsia="宋体"/>
                <w:szCs w:val="21"/>
                <w:highlight w:val="none"/>
              </w:rPr>
              <w:t>7.6.1</w:t>
            </w:r>
          </w:p>
        </w:tc>
        <w:tc>
          <w:tcPr>
            <w:tcW w:w="2100" w:type="dxa"/>
            <w:vAlign w:val="center"/>
          </w:tcPr>
          <w:p w14:paraId="1D5A6103">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履约保证金</w:t>
            </w:r>
          </w:p>
        </w:tc>
        <w:tc>
          <w:tcPr>
            <w:tcW w:w="6909" w:type="dxa"/>
            <w:vAlign w:val="center"/>
          </w:tcPr>
          <w:p w14:paraId="02896536">
            <w:pPr>
              <w:pStyle w:val="8"/>
              <w:topLinePunct/>
              <w:snapToGrid w:val="0"/>
              <w:spacing w:line="276" w:lineRule="auto"/>
              <w:ind w:right="174" w:rightChars="83"/>
              <w:rPr>
                <w:rFonts w:hAnsi="宋体"/>
                <w:sz w:val="21"/>
                <w:szCs w:val="21"/>
                <w:highlight w:val="none"/>
              </w:rPr>
            </w:pPr>
            <w:r>
              <w:rPr>
                <w:rFonts w:hint="eastAsia" w:hAnsi="宋体"/>
                <w:sz w:val="21"/>
                <w:szCs w:val="21"/>
                <w:highlight w:val="none"/>
              </w:rPr>
              <w:t>是否要求中标人提交履约担保：</w:t>
            </w:r>
          </w:p>
          <w:p w14:paraId="7206672C">
            <w:pPr>
              <w:pStyle w:val="8"/>
              <w:topLinePunct/>
              <w:snapToGrid w:val="0"/>
              <w:spacing w:line="276" w:lineRule="auto"/>
              <w:ind w:right="174" w:rightChars="83"/>
              <w:rPr>
                <w:rFonts w:hAnsi="宋体"/>
                <w:sz w:val="21"/>
                <w:szCs w:val="21"/>
                <w:highlight w:val="none"/>
              </w:rPr>
            </w:pPr>
            <w:r>
              <w:rPr>
                <w:rFonts w:hAnsi="宋体"/>
                <w:sz w:val="21"/>
                <w:szCs w:val="21"/>
                <w:highlight w:val="none"/>
              </w:rPr>
              <w:sym w:font="Wingdings" w:char="00A8"/>
            </w:r>
            <w:r>
              <w:rPr>
                <w:rFonts w:hAnsi="宋体"/>
                <w:sz w:val="21"/>
                <w:szCs w:val="21"/>
                <w:highlight w:val="none"/>
              </w:rPr>
              <w:t xml:space="preserve"> </w:t>
            </w:r>
            <w:r>
              <w:rPr>
                <w:rFonts w:hint="eastAsia" w:hAnsi="宋体"/>
                <w:sz w:val="21"/>
                <w:szCs w:val="21"/>
                <w:highlight w:val="none"/>
              </w:rPr>
              <w:t>要求，中标价</w:t>
            </w:r>
            <w:r>
              <w:rPr>
                <w:rFonts w:hAnsi="宋体"/>
                <w:sz w:val="21"/>
                <w:szCs w:val="21"/>
                <w:highlight w:val="none"/>
              </w:rPr>
              <w:t>10%的履约银行保函。</w:t>
            </w:r>
          </w:p>
          <w:p w14:paraId="4EF799D6">
            <w:pPr>
              <w:pStyle w:val="8"/>
              <w:topLinePunct/>
              <w:spacing w:line="276" w:lineRule="auto"/>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不要求</w:t>
            </w:r>
          </w:p>
        </w:tc>
      </w:tr>
      <w:tr w14:paraId="048997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945" w:type="dxa"/>
            <w:vAlign w:val="center"/>
          </w:tcPr>
          <w:p w14:paraId="3709A122">
            <w:pPr>
              <w:snapToGrid w:val="0"/>
              <w:spacing w:line="276" w:lineRule="auto"/>
              <w:jc w:val="center"/>
              <w:rPr>
                <w:rFonts w:ascii="宋体" w:hAnsi="宋体" w:eastAsia="宋体"/>
                <w:szCs w:val="21"/>
                <w:highlight w:val="none"/>
              </w:rPr>
            </w:pPr>
            <w:r>
              <w:rPr>
                <w:rFonts w:ascii="宋体" w:hAnsi="宋体" w:eastAsia="宋体"/>
                <w:szCs w:val="21"/>
                <w:highlight w:val="none"/>
              </w:rPr>
              <w:t>9</w:t>
            </w:r>
          </w:p>
        </w:tc>
        <w:tc>
          <w:tcPr>
            <w:tcW w:w="2100" w:type="dxa"/>
            <w:vAlign w:val="center"/>
          </w:tcPr>
          <w:p w14:paraId="12E0CD03">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是否采用电子招标投标</w:t>
            </w:r>
          </w:p>
        </w:tc>
        <w:tc>
          <w:tcPr>
            <w:tcW w:w="6909" w:type="dxa"/>
            <w:vAlign w:val="center"/>
          </w:tcPr>
          <w:p w14:paraId="36B50608">
            <w:pPr>
              <w:snapToGrid w:val="0"/>
              <w:spacing w:line="276" w:lineRule="auto"/>
              <w:rPr>
                <w:rFonts w:ascii="宋体" w:hAnsi="宋体" w:eastAsia="宋体"/>
                <w:szCs w:val="21"/>
                <w:highlight w:val="none"/>
              </w:rPr>
            </w:pPr>
            <w:r>
              <w:rPr>
                <w:rFonts w:ascii="宋体" w:hAnsi="宋体" w:eastAsia="宋体"/>
                <w:szCs w:val="21"/>
                <w:highlight w:val="none"/>
              </w:rPr>
              <w:sym w:font="Wingdings" w:char="00FE"/>
            </w:r>
            <w:r>
              <w:rPr>
                <w:rFonts w:hint="eastAsia" w:ascii="宋体" w:hAnsi="宋体" w:eastAsia="宋体"/>
                <w:szCs w:val="21"/>
                <w:highlight w:val="none"/>
              </w:rPr>
              <w:t>否</w:t>
            </w:r>
          </w:p>
          <w:p w14:paraId="46B00C53">
            <w:pPr>
              <w:spacing w:line="276" w:lineRule="auto"/>
              <w:rPr>
                <w:rFonts w:ascii="宋体" w:hAnsi="宋体" w:eastAsia="宋体"/>
                <w:szCs w:val="21"/>
                <w:highlight w:val="none"/>
              </w:rPr>
            </w:pPr>
            <w:r>
              <w:rPr>
                <w:rFonts w:ascii="宋体" w:hAnsi="宋体" w:eastAsia="宋体"/>
                <w:szCs w:val="21"/>
                <w:highlight w:val="none"/>
              </w:rPr>
              <w:sym w:font="Wingdings" w:char="00A8"/>
            </w:r>
            <w:r>
              <w:rPr>
                <w:rFonts w:hint="eastAsia" w:ascii="宋体" w:hAnsi="宋体" w:eastAsia="宋体"/>
                <w:szCs w:val="21"/>
                <w:highlight w:val="none"/>
              </w:rPr>
              <w:t>是，具体要求：</w:t>
            </w:r>
          </w:p>
          <w:p w14:paraId="1DA1F5BC">
            <w:pPr>
              <w:snapToGrid w:val="0"/>
              <w:spacing w:line="276" w:lineRule="auto"/>
              <w:rPr>
                <w:rFonts w:ascii="宋体" w:hAnsi="宋体" w:eastAsia="宋体"/>
                <w:szCs w:val="21"/>
                <w:highlight w:val="none"/>
              </w:rPr>
            </w:pPr>
          </w:p>
        </w:tc>
      </w:tr>
      <w:tr w14:paraId="40704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2A0C81CF">
            <w:pPr>
              <w:snapToGrid w:val="0"/>
              <w:spacing w:line="276" w:lineRule="auto"/>
              <w:jc w:val="center"/>
              <w:rPr>
                <w:rFonts w:ascii="宋体" w:hAnsi="宋体" w:eastAsia="宋体"/>
                <w:szCs w:val="21"/>
                <w:highlight w:val="none"/>
              </w:rPr>
            </w:pPr>
            <w:r>
              <w:rPr>
                <w:rFonts w:ascii="宋体" w:hAnsi="宋体" w:eastAsia="宋体"/>
                <w:szCs w:val="21"/>
                <w:highlight w:val="none"/>
              </w:rPr>
              <w:t>10</w:t>
            </w:r>
          </w:p>
        </w:tc>
        <w:tc>
          <w:tcPr>
            <w:tcW w:w="2100" w:type="dxa"/>
            <w:vAlign w:val="center"/>
          </w:tcPr>
          <w:p w14:paraId="186B5117">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需要补充的其他内容</w:t>
            </w:r>
          </w:p>
        </w:tc>
        <w:tc>
          <w:tcPr>
            <w:tcW w:w="6909" w:type="dxa"/>
            <w:vAlign w:val="center"/>
          </w:tcPr>
          <w:p w14:paraId="7E4C02C3">
            <w:pPr>
              <w:snapToGrid w:val="0"/>
              <w:spacing w:line="276" w:lineRule="auto"/>
              <w:rPr>
                <w:rFonts w:ascii="宋体" w:hAnsi="宋体" w:eastAsia="宋体"/>
                <w:szCs w:val="21"/>
                <w:highlight w:val="none"/>
              </w:rPr>
            </w:pPr>
            <w:r>
              <w:rPr>
                <w:rFonts w:hint="eastAsia" w:ascii="宋体" w:hAnsi="宋体" w:eastAsia="宋体"/>
                <w:szCs w:val="21"/>
                <w:highlight w:val="none"/>
              </w:rPr>
              <w:t>/</w:t>
            </w:r>
          </w:p>
        </w:tc>
      </w:tr>
      <w:tr w14:paraId="5472CC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423650A6">
            <w:pPr>
              <w:pStyle w:val="101"/>
              <w:snapToGrid w:val="0"/>
              <w:spacing w:line="276" w:lineRule="auto"/>
              <w:jc w:val="center"/>
              <w:rPr>
                <w:rFonts w:ascii="宋体" w:hAnsi="宋体"/>
                <w:szCs w:val="21"/>
                <w:highlight w:val="none"/>
              </w:rPr>
            </w:pPr>
            <w:r>
              <w:rPr>
                <w:rFonts w:ascii="宋体" w:hAnsi="宋体"/>
                <w:szCs w:val="21"/>
                <w:highlight w:val="none"/>
              </w:rPr>
              <w:t>10.1</w:t>
            </w:r>
          </w:p>
        </w:tc>
        <w:tc>
          <w:tcPr>
            <w:tcW w:w="2100" w:type="dxa"/>
            <w:vAlign w:val="center"/>
          </w:tcPr>
          <w:p w14:paraId="1FFEEE4E">
            <w:pPr>
              <w:pStyle w:val="101"/>
              <w:snapToGrid w:val="0"/>
              <w:spacing w:line="276" w:lineRule="auto"/>
              <w:jc w:val="center"/>
              <w:rPr>
                <w:rFonts w:ascii="宋体" w:hAnsi="宋体"/>
                <w:szCs w:val="21"/>
                <w:highlight w:val="none"/>
              </w:rPr>
            </w:pPr>
            <w:r>
              <w:rPr>
                <w:rFonts w:hint="eastAsia" w:ascii="宋体" w:hAnsi="宋体"/>
                <w:szCs w:val="21"/>
                <w:highlight w:val="none"/>
              </w:rPr>
              <w:t>招标失败的情形</w:t>
            </w:r>
          </w:p>
        </w:tc>
        <w:tc>
          <w:tcPr>
            <w:tcW w:w="6909" w:type="dxa"/>
            <w:vAlign w:val="center"/>
          </w:tcPr>
          <w:p w14:paraId="36E3384E">
            <w:pPr>
              <w:pStyle w:val="101"/>
              <w:snapToGrid w:val="0"/>
              <w:spacing w:line="276" w:lineRule="auto"/>
              <w:jc w:val="left"/>
              <w:rPr>
                <w:rFonts w:ascii="宋体" w:hAnsi="宋体"/>
                <w:szCs w:val="21"/>
                <w:highlight w:val="none"/>
              </w:rPr>
            </w:pPr>
            <w:r>
              <w:rPr>
                <w:rFonts w:hint="eastAsia" w:ascii="宋体" w:hAnsi="宋体"/>
                <w:szCs w:val="21"/>
                <w:highlight w:val="none"/>
              </w:rPr>
              <w:t>本项目递交投标文件或初步评审通过的投标申请人不足</w:t>
            </w:r>
            <w:r>
              <w:rPr>
                <w:rFonts w:ascii="宋体" w:hAnsi="宋体"/>
                <w:szCs w:val="21"/>
                <w:highlight w:val="none"/>
              </w:rPr>
              <w:t>3名时为招标失败。招标人分析招标失败原因，修正招标方案，报有关管理部门核准后，重新组织招标。</w:t>
            </w:r>
          </w:p>
        </w:tc>
      </w:tr>
      <w:tr w14:paraId="16132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60681CEA">
            <w:pPr>
              <w:pStyle w:val="101"/>
              <w:snapToGrid w:val="0"/>
              <w:spacing w:line="276" w:lineRule="auto"/>
              <w:jc w:val="center"/>
              <w:rPr>
                <w:rFonts w:ascii="宋体" w:hAnsi="宋体"/>
                <w:szCs w:val="21"/>
                <w:highlight w:val="none"/>
              </w:rPr>
            </w:pPr>
            <w:r>
              <w:rPr>
                <w:rFonts w:ascii="宋体" w:hAnsi="宋体"/>
                <w:szCs w:val="21"/>
                <w:highlight w:val="none"/>
              </w:rPr>
              <w:t>10.</w:t>
            </w:r>
            <w:r>
              <w:rPr>
                <w:rFonts w:hint="eastAsia" w:ascii="宋体" w:hAnsi="宋体"/>
                <w:szCs w:val="21"/>
                <w:highlight w:val="none"/>
              </w:rPr>
              <w:t>2</w:t>
            </w:r>
          </w:p>
        </w:tc>
        <w:tc>
          <w:tcPr>
            <w:tcW w:w="2100" w:type="dxa"/>
            <w:vAlign w:val="center"/>
          </w:tcPr>
          <w:p w14:paraId="658B692D">
            <w:pPr>
              <w:pStyle w:val="101"/>
              <w:snapToGrid w:val="0"/>
              <w:spacing w:line="276" w:lineRule="auto"/>
              <w:jc w:val="center"/>
              <w:rPr>
                <w:rFonts w:ascii="宋体" w:hAnsi="宋体"/>
                <w:szCs w:val="21"/>
                <w:highlight w:val="none"/>
              </w:rPr>
            </w:pPr>
            <w:r>
              <w:rPr>
                <w:rFonts w:hint="eastAsia" w:ascii="宋体" w:hAnsi="宋体"/>
                <w:szCs w:val="21"/>
                <w:highlight w:val="none"/>
              </w:rPr>
              <w:t>否决投标条款</w:t>
            </w:r>
          </w:p>
        </w:tc>
        <w:tc>
          <w:tcPr>
            <w:tcW w:w="6909" w:type="dxa"/>
            <w:vAlign w:val="center"/>
          </w:tcPr>
          <w:p w14:paraId="0D13E3D8">
            <w:pPr>
              <w:pStyle w:val="101"/>
              <w:snapToGrid w:val="0"/>
              <w:spacing w:line="276" w:lineRule="auto"/>
              <w:jc w:val="left"/>
              <w:rPr>
                <w:rFonts w:ascii="宋体" w:hAnsi="宋体"/>
                <w:szCs w:val="21"/>
                <w:highlight w:val="none"/>
              </w:rPr>
            </w:pPr>
            <w:r>
              <w:rPr>
                <w:rFonts w:hint="eastAsia" w:ascii="宋体" w:hAnsi="宋体"/>
                <w:szCs w:val="21"/>
                <w:highlight w:val="none"/>
              </w:rPr>
              <w:t>否决投标条款：</w:t>
            </w:r>
          </w:p>
          <w:p w14:paraId="48859D32">
            <w:pPr>
              <w:pStyle w:val="101"/>
              <w:snapToGrid w:val="0"/>
              <w:spacing w:line="276" w:lineRule="auto"/>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rPr>
              <w:t>在投标截止期后逾期或未递交</w:t>
            </w:r>
            <w:r>
              <w:rPr>
                <w:rFonts w:hint="eastAsia" w:ascii="宋体" w:hAnsi="宋体"/>
                <w:szCs w:val="21"/>
                <w:highlight w:val="none"/>
              </w:rPr>
              <w:t>纸质</w:t>
            </w:r>
            <w:r>
              <w:rPr>
                <w:rFonts w:ascii="宋体" w:hAnsi="宋体"/>
                <w:szCs w:val="21"/>
                <w:highlight w:val="none"/>
              </w:rPr>
              <w:t>投标文件的。</w:t>
            </w:r>
          </w:p>
          <w:p w14:paraId="29F053F3">
            <w:pPr>
              <w:pStyle w:val="101"/>
              <w:snapToGrid w:val="0"/>
              <w:spacing w:line="276" w:lineRule="auto"/>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投标人未按招标文件要求提供附件或未按要求加盖公章及签名的，经评标委员会认定后，其投标文件将被否决。</w:t>
            </w:r>
          </w:p>
          <w:p w14:paraId="6BDEFB44">
            <w:pPr>
              <w:pStyle w:val="101"/>
              <w:snapToGrid w:val="0"/>
              <w:spacing w:line="276" w:lineRule="auto"/>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投标文件中投标报价高于最高投标限价的，其投标文件将被否决。</w:t>
            </w:r>
          </w:p>
          <w:p w14:paraId="02E4FDA7">
            <w:pPr>
              <w:pStyle w:val="101"/>
              <w:snapToGrid w:val="0"/>
              <w:spacing w:line="276" w:lineRule="auto"/>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按投标报价的算术校核原则及方法调整或修正投标文件的投标报价，调整后的投标报价对投标人起约束作用。如果投标人不接受修正后的报价，则取消其中标资格。</w:t>
            </w:r>
          </w:p>
          <w:p w14:paraId="58C6AABA">
            <w:pPr>
              <w:pStyle w:val="101"/>
              <w:snapToGrid w:val="0"/>
              <w:spacing w:line="276" w:lineRule="auto"/>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资审合格后，投标人的资格发生变化而不满足投标人合格条件，在发出中标通知书前，资格问题仍未解决的，招标人将取消其中标资格。</w:t>
            </w:r>
          </w:p>
          <w:p w14:paraId="591AD386">
            <w:pPr>
              <w:pStyle w:val="101"/>
              <w:snapToGrid w:val="0"/>
              <w:spacing w:line="276" w:lineRule="auto"/>
              <w:jc w:val="left"/>
              <w:rPr>
                <w:rFonts w:ascii="宋体" w:hAnsi="宋体"/>
                <w:szCs w:val="21"/>
                <w:highlight w:val="none"/>
              </w:rPr>
            </w:pPr>
            <w:r>
              <w:rPr>
                <w:rFonts w:hint="eastAsia" w:ascii="宋体" w:hAnsi="宋体"/>
                <w:szCs w:val="21"/>
                <w:highlight w:val="none"/>
              </w:rPr>
              <w:t>6．</w:t>
            </w:r>
            <w:r>
              <w:rPr>
                <w:rFonts w:ascii="宋体" w:hAnsi="宋体"/>
                <w:szCs w:val="21"/>
                <w:highlight w:val="none"/>
              </w:rPr>
              <w:t>投标人如在本项目中存在串通投标、弄虚作假、行贿情形的，中标无效，该投标人将被招标人列入黑名单并限制其投标。</w:t>
            </w:r>
          </w:p>
          <w:p w14:paraId="7D02E074">
            <w:pPr>
              <w:pStyle w:val="101"/>
              <w:snapToGrid w:val="0"/>
              <w:spacing w:line="276" w:lineRule="auto"/>
              <w:jc w:val="left"/>
              <w:rPr>
                <w:rFonts w:ascii="宋体" w:hAnsi="宋体"/>
                <w:szCs w:val="21"/>
                <w:highlight w:val="none"/>
              </w:rPr>
            </w:pPr>
            <w:r>
              <w:rPr>
                <w:rFonts w:hint="eastAsia" w:ascii="宋体" w:hAnsi="宋体"/>
                <w:szCs w:val="21"/>
                <w:highlight w:val="none"/>
              </w:rPr>
              <w:t>7．</w:t>
            </w:r>
            <w:r>
              <w:rPr>
                <w:rFonts w:ascii="宋体" w:hAnsi="宋体"/>
                <w:szCs w:val="21"/>
                <w:highlight w:val="none"/>
              </w:rPr>
              <w:t>投标文件符合列于《评标办法前附表》“形式评审标准”“资格评审标准”“响应性评审标准”中所有情形的，为有效投标文件。任一情形不符合均为无效投标文件，经评标委员会认定后，其投标文件将被否决。</w:t>
            </w:r>
          </w:p>
        </w:tc>
      </w:tr>
      <w:tr w14:paraId="2D91B4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45005C23">
            <w:pPr>
              <w:pStyle w:val="101"/>
              <w:snapToGrid w:val="0"/>
              <w:spacing w:line="276" w:lineRule="auto"/>
              <w:jc w:val="center"/>
              <w:rPr>
                <w:rFonts w:ascii="宋体" w:hAnsi="宋体"/>
                <w:szCs w:val="21"/>
                <w:highlight w:val="none"/>
              </w:rPr>
            </w:pPr>
            <w:r>
              <w:rPr>
                <w:rFonts w:ascii="宋体" w:hAnsi="宋体"/>
                <w:szCs w:val="21"/>
                <w:highlight w:val="none"/>
              </w:rPr>
              <w:t>10.</w:t>
            </w:r>
            <w:r>
              <w:rPr>
                <w:rFonts w:hint="eastAsia" w:ascii="宋体" w:hAnsi="宋体"/>
                <w:szCs w:val="21"/>
                <w:highlight w:val="none"/>
              </w:rPr>
              <w:t>3</w:t>
            </w:r>
          </w:p>
        </w:tc>
        <w:tc>
          <w:tcPr>
            <w:tcW w:w="2100" w:type="dxa"/>
            <w:vAlign w:val="center"/>
          </w:tcPr>
          <w:p w14:paraId="6871703B">
            <w:pPr>
              <w:pStyle w:val="101"/>
              <w:snapToGrid w:val="0"/>
              <w:spacing w:line="276" w:lineRule="auto"/>
              <w:jc w:val="center"/>
              <w:rPr>
                <w:rFonts w:ascii="宋体" w:hAnsi="宋体"/>
                <w:szCs w:val="21"/>
                <w:highlight w:val="none"/>
              </w:rPr>
            </w:pPr>
            <w:r>
              <w:rPr>
                <w:rFonts w:ascii="宋体" w:hAnsi="宋体"/>
                <w:szCs w:val="21"/>
                <w:highlight w:val="none"/>
              </w:rPr>
              <w:t>/</w:t>
            </w:r>
          </w:p>
        </w:tc>
        <w:tc>
          <w:tcPr>
            <w:tcW w:w="6909" w:type="dxa"/>
            <w:vAlign w:val="center"/>
          </w:tcPr>
          <w:p w14:paraId="1B466B98">
            <w:pPr>
              <w:pStyle w:val="101"/>
              <w:snapToGrid w:val="0"/>
              <w:spacing w:line="276" w:lineRule="auto"/>
              <w:jc w:val="left"/>
              <w:rPr>
                <w:rFonts w:ascii="宋体" w:hAnsi="宋体"/>
                <w:szCs w:val="21"/>
                <w:highlight w:val="none"/>
              </w:rPr>
            </w:pPr>
            <w:r>
              <w:rPr>
                <w:rFonts w:hint="eastAsia" w:ascii="宋体" w:hAnsi="宋体" w:cs="宋体"/>
                <w:b/>
                <w:bCs/>
                <w:kern w:val="0"/>
                <w:szCs w:val="21"/>
                <w:highlight w:val="none"/>
              </w:rPr>
              <w:t>投标人或其他利害关系人对评标结果有异议的，应当在中标候选人公示期间提出，可以通过线下或线上的形式提出异议。作出答复前，应当暂停招标投标活动。</w:t>
            </w:r>
          </w:p>
        </w:tc>
      </w:tr>
      <w:tr w14:paraId="2D071F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5A30E583">
            <w:pPr>
              <w:pStyle w:val="101"/>
              <w:snapToGrid w:val="0"/>
              <w:spacing w:line="276" w:lineRule="auto"/>
              <w:jc w:val="center"/>
              <w:rPr>
                <w:rFonts w:ascii="宋体" w:hAnsi="宋体"/>
                <w:szCs w:val="21"/>
                <w:highlight w:val="none"/>
              </w:rPr>
            </w:pPr>
            <w:r>
              <w:rPr>
                <w:rFonts w:ascii="宋体" w:hAnsi="宋体"/>
                <w:szCs w:val="21"/>
                <w:highlight w:val="none"/>
              </w:rPr>
              <w:t>10.4</w:t>
            </w:r>
          </w:p>
        </w:tc>
        <w:tc>
          <w:tcPr>
            <w:tcW w:w="2100" w:type="dxa"/>
            <w:vAlign w:val="center"/>
          </w:tcPr>
          <w:p w14:paraId="3772307F">
            <w:pPr>
              <w:pStyle w:val="101"/>
              <w:snapToGrid w:val="0"/>
              <w:spacing w:line="276" w:lineRule="auto"/>
              <w:jc w:val="center"/>
              <w:rPr>
                <w:rFonts w:ascii="宋体" w:hAnsi="宋体"/>
                <w:szCs w:val="21"/>
                <w:highlight w:val="none"/>
              </w:rPr>
            </w:pPr>
            <w:r>
              <w:rPr>
                <w:rFonts w:hint="eastAsia" w:ascii="宋体" w:hAnsi="宋体"/>
                <w:szCs w:val="21"/>
                <w:highlight w:val="none"/>
              </w:rPr>
              <w:t>其他</w:t>
            </w:r>
          </w:p>
        </w:tc>
        <w:tc>
          <w:tcPr>
            <w:tcW w:w="6909" w:type="dxa"/>
            <w:vAlign w:val="center"/>
          </w:tcPr>
          <w:p w14:paraId="2CD863DC">
            <w:pPr>
              <w:spacing w:line="36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本项目招标代理费由中标人在领取中标通知书前一次性向招标代理单位支付。招标代理费最终以本项目的中标金额为计费基数，参照国家计委【</w:t>
            </w:r>
            <w:r>
              <w:rPr>
                <w:rFonts w:ascii="宋体" w:hAnsi="宋体" w:eastAsia="宋体" w:cs="Times New Roman"/>
                <w:szCs w:val="21"/>
                <w:highlight w:val="none"/>
              </w:rPr>
              <w:t>2002】1980号《招标代理服务收费管理暂行办法》收费标准，费率下浮3</w:t>
            </w:r>
            <w:r>
              <w:rPr>
                <w:rFonts w:hint="eastAsia" w:ascii="宋体" w:hAnsi="宋体" w:eastAsia="宋体" w:cs="Times New Roman"/>
                <w:szCs w:val="21"/>
                <w:highlight w:val="none"/>
              </w:rPr>
              <w:t>5</w:t>
            </w:r>
            <w:r>
              <w:rPr>
                <w:rFonts w:ascii="宋体" w:hAnsi="宋体" w:eastAsia="宋体" w:cs="Times New Roman"/>
                <w:szCs w:val="21"/>
                <w:highlight w:val="none"/>
              </w:rPr>
              <w:t>%计算招标代理报酬。</w:t>
            </w:r>
          </w:p>
          <w:p w14:paraId="471C785C">
            <w:pPr>
              <w:spacing w:line="36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暂按269</w:t>
            </w:r>
            <w:r>
              <w:rPr>
                <w:rFonts w:ascii="宋体" w:hAnsi="宋体" w:eastAsia="宋体" w:cs="Times New Roman"/>
                <w:szCs w:val="21"/>
                <w:highlight w:val="none"/>
              </w:rPr>
              <w:t>万元为计费基数，计算公式如下：</w:t>
            </w:r>
          </w:p>
          <w:p w14:paraId="71B35873">
            <w:pPr>
              <w:spacing w:line="36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100 万元 ×1.5 ％＝ 1.5万元 </w:t>
            </w:r>
          </w:p>
          <w:p w14:paraId="38508F88">
            <w:pPr>
              <w:spacing w:line="36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(269-100)万元 ×0.8 ％＝1.3520万元 </w:t>
            </w:r>
          </w:p>
          <w:p w14:paraId="06277DAA">
            <w:pPr>
              <w:spacing w:line="360" w:lineRule="exact"/>
              <w:ind w:firstLine="420" w:firstLineChars="200"/>
              <w:rPr>
                <w:rFonts w:ascii="宋体" w:hAnsi="宋体" w:cs="宋体"/>
                <w:sz w:val="24"/>
                <w:highlight w:val="none"/>
              </w:rPr>
            </w:pPr>
            <w:r>
              <w:rPr>
                <w:rFonts w:hint="eastAsia" w:ascii="宋体" w:hAnsi="宋体" w:eastAsia="宋体" w:cs="Times New Roman"/>
                <w:szCs w:val="21"/>
                <w:highlight w:val="none"/>
              </w:rPr>
              <w:t xml:space="preserve">（1.5+1.3520）万元×（1- </w:t>
            </w:r>
            <w:r>
              <w:rPr>
                <w:rFonts w:ascii="宋体" w:hAnsi="宋体" w:eastAsia="宋体" w:cs="Times New Roman"/>
                <w:szCs w:val="21"/>
                <w:highlight w:val="none"/>
              </w:rPr>
              <w:t>3</w:t>
            </w:r>
            <w:r>
              <w:rPr>
                <w:rFonts w:hint="eastAsia" w:ascii="宋体" w:hAnsi="宋体" w:eastAsia="宋体" w:cs="Times New Roman"/>
                <w:szCs w:val="21"/>
                <w:highlight w:val="none"/>
              </w:rPr>
              <w:t>5%）=1.8538万元＝18538.00 元</w:t>
            </w:r>
          </w:p>
        </w:tc>
      </w:tr>
    </w:tbl>
    <w:p w14:paraId="6FA7E52E">
      <w:pPr>
        <w:pStyle w:val="3"/>
        <w:rPr>
          <w:color w:val="auto"/>
          <w:highlight w:val="none"/>
        </w:rPr>
      </w:pPr>
    </w:p>
    <w:p w14:paraId="114EDBEB">
      <w:pPr>
        <w:rPr>
          <w:highlight w:val="none"/>
        </w:rPr>
      </w:pPr>
    </w:p>
    <w:p w14:paraId="4ECC8628">
      <w:pPr>
        <w:rPr>
          <w:highlight w:val="none"/>
        </w:rPr>
      </w:pPr>
    </w:p>
    <w:p w14:paraId="2F012466">
      <w:pPr>
        <w:rPr>
          <w:highlight w:val="none"/>
        </w:rPr>
      </w:pPr>
    </w:p>
    <w:p w14:paraId="6C409217">
      <w:pPr>
        <w:rPr>
          <w:highlight w:val="none"/>
        </w:rPr>
      </w:pPr>
    </w:p>
    <w:p w14:paraId="02AC37BC">
      <w:pPr>
        <w:rPr>
          <w:highlight w:val="none"/>
        </w:rPr>
      </w:pPr>
    </w:p>
    <w:p w14:paraId="2057191C">
      <w:pPr>
        <w:rPr>
          <w:highlight w:val="none"/>
        </w:rPr>
      </w:pPr>
    </w:p>
    <w:p w14:paraId="6BB19B3D">
      <w:pPr>
        <w:rPr>
          <w:highlight w:val="none"/>
        </w:rPr>
      </w:pPr>
    </w:p>
    <w:p w14:paraId="4E1EE880">
      <w:pPr>
        <w:rPr>
          <w:highlight w:val="none"/>
        </w:rPr>
      </w:pPr>
    </w:p>
    <w:p w14:paraId="770F6D4F">
      <w:pPr>
        <w:rPr>
          <w:highlight w:val="none"/>
        </w:rPr>
      </w:pPr>
    </w:p>
    <w:p w14:paraId="6AF3A5D0">
      <w:pPr>
        <w:rPr>
          <w:highlight w:val="none"/>
        </w:rPr>
      </w:pPr>
    </w:p>
    <w:p w14:paraId="53CF14F5">
      <w:pPr>
        <w:rPr>
          <w:highlight w:val="none"/>
        </w:rPr>
      </w:pPr>
    </w:p>
    <w:p w14:paraId="321ED6A6">
      <w:pPr>
        <w:rPr>
          <w:highlight w:val="none"/>
        </w:rPr>
      </w:pPr>
    </w:p>
    <w:p w14:paraId="4814983E">
      <w:pPr>
        <w:rPr>
          <w:highlight w:val="none"/>
        </w:rPr>
      </w:pPr>
    </w:p>
    <w:p w14:paraId="5027B13A">
      <w:pPr>
        <w:rPr>
          <w:highlight w:val="none"/>
        </w:rPr>
      </w:pPr>
    </w:p>
    <w:p w14:paraId="23AD3964">
      <w:pPr>
        <w:rPr>
          <w:highlight w:val="none"/>
        </w:rPr>
      </w:pPr>
    </w:p>
    <w:p w14:paraId="7E3BC8CC">
      <w:pPr>
        <w:rPr>
          <w:highlight w:val="none"/>
        </w:rPr>
      </w:pPr>
    </w:p>
    <w:p w14:paraId="26429CDA">
      <w:pPr>
        <w:rPr>
          <w:highlight w:val="none"/>
        </w:rPr>
      </w:pPr>
    </w:p>
    <w:p w14:paraId="54E54DEA">
      <w:pPr>
        <w:rPr>
          <w:highlight w:val="none"/>
        </w:rPr>
      </w:pPr>
    </w:p>
    <w:p w14:paraId="548DB021">
      <w:pPr>
        <w:rPr>
          <w:highlight w:val="none"/>
        </w:rPr>
      </w:pPr>
    </w:p>
    <w:p w14:paraId="343C80FE">
      <w:pPr>
        <w:rPr>
          <w:highlight w:val="none"/>
        </w:rPr>
      </w:pPr>
    </w:p>
    <w:p w14:paraId="41DF56B2">
      <w:pPr>
        <w:rPr>
          <w:highlight w:val="none"/>
        </w:rPr>
      </w:pPr>
    </w:p>
    <w:p w14:paraId="30670927">
      <w:pPr>
        <w:rPr>
          <w:highlight w:val="none"/>
        </w:rPr>
      </w:pPr>
    </w:p>
    <w:p w14:paraId="7B617B04">
      <w:pPr>
        <w:rPr>
          <w:highlight w:val="none"/>
        </w:rPr>
      </w:pPr>
    </w:p>
    <w:p w14:paraId="25716648">
      <w:pPr>
        <w:rPr>
          <w:highlight w:val="none"/>
        </w:rPr>
      </w:pPr>
    </w:p>
    <w:p w14:paraId="5649EC89">
      <w:pPr>
        <w:rPr>
          <w:highlight w:val="none"/>
        </w:rPr>
      </w:pPr>
    </w:p>
    <w:p w14:paraId="25603994">
      <w:pPr>
        <w:rPr>
          <w:highlight w:val="none"/>
        </w:rPr>
      </w:pPr>
    </w:p>
    <w:p w14:paraId="05CF2762">
      <w:pPr>
        <w:rPr>
          <w:highlight w:val="none"/>
        </w:rPr>
      </w:pPr>
    </w:p>
    <w:p w14:paraId="7DBA832B">
      <w:pPr>
        <w:rPr>
          <w:highlight w:val="none"/>
        </w:rPr>
      </w:pPr>
    </w:p>
    <w:p w14:paraId="17EA81EB">
      <w:pPr>
        <w:rPr>
          <w:highlight w:val="none"/>
        </w:rPr>
      </w:pPr>
    </w:p>
    <w:p w14:paraId="69CC1089">
      <w:pPr>
        <w:rPr>
          <w:highlight w:val="none"/>
        </w:rPr>
      </w:pPr>
    </w:p>
    <w:p w14:paraId="376A5153">
      <w:pPr>
        <w:rPr>
          <w:highlight w:val="none"/>
        </w:rPr>
      </w:pPr>
    </w:p>
    <w:p w14:paraId="124D5553">
      <w:pPr>
        <w:rPr>
          <w:highlight w:val="none"/>
        </w:rPr>
      </w:pPr>
    </w:p>
    <w:p w14:paraId="58736B82">
      <w:pPr>
        <w:rPr>
          <w:highlight w:val="none"/>
        </w:rPr>
      </w:pPr>
    </w:p>
    <w:p w14:paraId="65159D12">
      <w:pPr>
        <w:rPr>
          <w:highlight w:val="none"/>
        </w:rPr>
      </w:pPr>
    </w:p>
    <w:p w14:paraId="4C1E21B8">
      <w:pPr>
        <w:rPr>
          <w:highlight w:val="none"/>
        </w:rPr>
      </w:pPr>
    </w:p>
    <w:p w14:paraId="620200F7">
      <w:pPr>
        <w:rPr>
          <w:highlight w:val="none"/>
        </w:rPr>
      </w:pPr>
    </w:p>
    <w:p w14:paraId="63CA3E3D">
      <w:pPr>
        <w:rPr>
          <w:highlight w:val="none"/>
        </w:rPr>
      </w:pPr>
    </w:p>
    <w:p w14:paraId="16DA8813">
      <w:pPr>
        <w:pStyle w:val="3"/>
        <w:rPr>
          <w:color w:val="auto"/>
          <w:highlight w:val="none"/>
        </w:rPr>
      </w:pPr>
      <w:bookmarkStart w:id="10" w:name="_Toc17112"/>
      <w:r>
        <w:rPr>
          <w:color w:val="auto"/>
          <w:highlight w:val="none"/>
        </w:rPr>
        <w:t>1.总则</w:t>
      </w:r>
      <w:bookmarkEnd w:id="10"/>
    </w:p>
    <w:p w14:paraId="477419C3">
      <w:pPr>
        <w:pStyle w:val="4"/>
        <w:spacing w:after="283" w:line="416" w:lineRule="auto"/>
        <w:ind w:left="132" w:firstLine="0" w:firstLineChars="0"/>
        <w:rPr>
          <w:rFonts w:ascii="宋体" w:hAnsi="宋体" w:eastAsia="宋体"/>
          <w:highlight w:val="none"/>
        </w:rPr>
      </w:pPr>
      <w:bookmarkStart w:id="11" w:name="_Toc36466563"/>
      <w:bookmarkStart w:id="12" w:name="_Toc45266394"/>
      <w:bookmarkStart w:id="13" w:name="_Toc13684"/>
      <w:bookmarkStart w:id="14" w:name="_Toc133420468"/>
      <w:bookmarkStart w:id="15" w:name="_Toc51055712"/>
      <w:r>
        <w:rPr>
          <w:rFonts w:ascii="宋体" w:hAnsi="宋体" w:eastAsia="宋体"/>
          <w:highlight w:val="none"/>
        </w:rPr>
        <w:t>1.1招标项目概况</w:t>
      </w:r>
      <w:bookmarkEnd w:id="11"/>
      <w:bookmarkEnd w:id="12"/>
      <w:bookmarkEnd w:id="13"/>
      <w:bookmarkEnd w:id="14"/>
      <w:bookmarkEnd w:id="15"/>
    </w:p>
    <w:p w14:paraId="1C891589">
      <w:pPr>
        <w:spacing w:line="360" w:lineRule="auto"/>
        <w:ind w:firstLine="420" w:firstLineChars="200"/>
        <w:rPr>
          <w:rFonts w:ascii="宋体" w:hAnsi="宋体" w:eastAsia="宋体"/>
          <w:highlight w:val="none"/>
        </w:rPr>
      </w:pPr>
      <w:r>
        <w:rPr>
          <w:rFonts w:ascii="宋体" w:hAnsi="宋体" w:eastAsia="宋体"/>
          <w:highlight w:val="none"/>
        </w:rPr>
        <w:t>1.1.1根据《中华人民共和国招标投标法》、《中华人民共和国招标投标法实施条例》等有关法律、法规和规章的规定，本招标项目已具备招标条件，现对其进行招标。</w:t>
      </w:r>
    </w:p>
    <w:p w14:paraId="5B512884">
      <w:pPr>
        <w:spacing w:line="360" w:lineRule="auto"/>
        <w:ind w:firstLine="420" w:firstLineChars="200"/>
        <w:rPr>
          <w:rFonts w:ascii="宋体" w:hAnsi="宋体" w:eastAsia="宋体"/>
          <w:highlight w:val="none"/>
        </w:rPr>
      </w:pPr>
      <w:r>
        <w:rPr>
          <w:rFonts w:ascii="宋体" w:hAnsi="宋体" w:eastAsia="宋体"/>
          <w:highlight w:val="none"/>
        </w:rPr>
        <w:t>1.1.2招标人：见投标人须知前附表。</w:t>
      </w:r>
    </w:p>
    <w:p w14:paraId="5F461C94">
      <w:pPr>
        <w:spacing w:line="360" w:lineRule="auto"/>
        <w:ind w:firstLine="420" w:firstLineChars="200"/>
        <w:rPr>
          <w:rFonts w:ascii="宋体" w:hAnsi="宋体" w:eastAsia="宋体"/>
          <w:highlight w:val="none"/>
        </w:rPr>
      </w:pPr>
      <w:r>
        <w:rPr>
          <w:rFonts w:ascii="宋体" w:hAnsi="宋体" w:eastAsia="宋体"/>
          <w:highlight w:val="none"/>
        </w:rPr>
        <w:t>1.1.3招标代理机构：见投标人须知前附表。</w:t>
      </w:r>
    </w:p>
    <w:p w14:paraId="007EBFE6">
      <w:pPr>
        <w:spacing w:line="360" w:lineRule="auto"/>
        <w:ind w:firstLine="420" w:firstLineChars="200"/>
        <w:rPr>
          <w:rFonts w:ascii="宋体" w:hAnsi="宋体" w:eastAsia="宋体"/>
          <w:highlight w:val="none"/>
        </w:rPr>
      </w:pPr>
      <w:r>
        <w:rPr>
          <w:rFonts w:ascii="宋体" w:hAnsi="宋体" w:eastAsia="宋体"/>
          <w:highlight w:val="none"/>
        </w:rPr>
        <w:t>1.1.4招标项目名称：见投标人须知前附表。</w:t>
      </w:r>
    </w:p>
    <w:p w14:paraId="234AFAC3">
      <w:pPr>
        <w:spacing w:line="360" w:lineRule="auto"/>
        <w:ind w:firstLine="420" w:firstLineChars="200"/>
        <w:rPr>
          <w:rFonts w:ascii="宋体" w:hAnsi="宋体" w:eastAsia="宋体"/>
          <w:highlight w:val="none"/>
        </w:rPr>
      </w:pPr>
      <w:r>
        <w:rPr>
          <w:rFonts w:ascii="宋体" w:hAnsi="宋体" w:eastAsia="宋体"/>
          <w:highlight w:val="none"/>
        </w:rPr>
        <w:t>1.1.5项目地点：见投标人须知前附表。</w:t>
      </w:r>
    </w:p>
    <w:p w14:paraId="35142386">
      <w:pPr>
        <w:spacing w:line="360" w:lineRule="auto"/>
        <w:ind w:firstLine="420" w:firstLineChars="200"/>
        <w:rPr>
          <w:rFonts w:ascii="宋体" w:hAnsi="宋体" w:eastAsia="宋体"/>
          <w:highlight w:val="none"/>
        </w:rPr>
      </w:pPr>
      <w:r>
        <w:rPr>
          <w:rFonts w:ascii="宋体" w:hAnsi="宋体" w:eastAsia="宋体"/>
          <w:highlight w:val="none"/>
        </w:rPr>
        <w:t>1.1.6项目规模：见投标人须知前附表。</w:t>
      </w:r>
    </w:p>
    <w:p w14:paraId="0D7ED5A1">
      <w:pPr>
        <w:pStyle w:val="4"/>
        <w:spacing w:after="283" w:line="416" w:lineRule="auto"/>
        <w:ind w:left="132" w:firstLine="0" w:firstLineChars="0"/>
        <w:rPr>
          <w:rFonts w:ascii="宋体" w:hAnsi="宋体" w:eastAsia="宋体"/>
          <w:highlight w:val="none"/>
        </w:rPr>
      </w:pPr>
      <w:bookmarkStart w:id="16" w:name="_Toc21738"/>
      <w:bookmarkStart w:id="17" w:name="_Toc133420469"/>
      <w:bookmarkStart w:id="18" w:name="_Toc36466564"/>
      <w:bookmarkStart w:id="19" w:name="_Toc45266395"/>
      <w:bookmarkStart w:id="20" w:name="_Toc51055713"/>
      <w:r>
        <w:rPr>
          <w:rFonts w:ascii="宋体" w:hAnsi="宋体" w:eastAsia="宋体"/>
          <w:highlight w:val="none"/>
        </w:rPr>
        <w:t>1.2招标项目的资金来源和落实情况</w:t>
      </w:r>
      <w:bookmarkEnd w:id="16"/>
      <w:bookmarkEnd w:id="17"/>
      <w:bookmarkEnd w:id="18"/>
      <w:bookmarkEnd w:id="19"/>
      <w:bookmarkEnd w:id="20"/>
    </w:p>
    <w:p w14:paraId="14703503">
      <w:pPr>
        <w:spacing w:line="360" w:lineRule="auto"/>
        <w:ind w:firstLine="420" w:firstLineChars="200"/>
        <w:rPr>
          <w:rFonts w:ascii="宋体" w:hAnsi="宋体" w:eastAsia="宋体"/>
          <w:highlight w:val="none"/>
        </w:rPr>
      </w:pPr>
      <w:r>
        <w:rPr>
          <w:rFonts w:ascii="宋体" w:hAnsi="宋体" w:eastAsia="宋体"/>
          <w:highlight w:val="none"/>
        </w:rPr>
        <w:t>1.2.1资金来源及比例：见投标人须知前附表。</w:t>
      </w:r>
    </w:p>
    <w:p w14:paraId="49D4ADA3">
      <w:pPr>
        <w:spacing w:line="360" w:lineRule="auto"/>
        <w:ind w:firstLine="420" w:firstLineChars="200"/>
        <w:rPr>
          <w:rFonts w:ascii="宋体" w:hAnsi="宋体" w:eastAsia="宋体"/>
          <w:highlight w:val="none"/>
        </w:rPr>
      </w:pPr>
      <w:r>
        <w:rPr>
          <w:rFonts w:ascii="宋体" w:hAnsi="宋体" w:eastAsia="宋体"/>
          <w:highlight w:val="none"/>
        </w:rPr>
        <w:t>1.2.2资金落实情况：见投标人须知前附表。</w:t>
      </w:r>
    </w:p>
    <w:p w14:paraId="210E03A6">
      <w:pPr>
        <w:pStyle w:val="4"/>
        <w:spacing w:after="283" w:line="416" w:lineRule="auto"/>
        <w:ind w:left="132" w:firstLine="0" w:firstLineChars="0"/>
        <w:rPr>
          <w:rFonts w:ascii="宋体" w:hAnsi="宋体" w:eastAsia="宋体"/>
          <w:highlight w:val="none"/>
        </w:rPr>
      </w:pPr>
      <w:bookmarkStart w:id="21" w:name="_Toc133420470"/>
      <w:bookmarkStart w:id="22" w:name="_Toc45266396"/>
      <w:bookmarkStart w:id="23" w:name="_Toc31255"/>
      <w:bookmarkStart w:id="24" w:name="_Toc51055714"/>
      <w:bookmarkStart w:id="25" w:name="_Toc36466565"/>
      <w:r>
        <w:rPr>
          <w:rFonts w:ascii="宋体" w:hAnsi="宋体" w:eastAsia="宋体"/>
          <w:highlight w:val="none"/>
        </w:rPr>
        <w:t xml:space="preserve">1.3 </w:t>
      </w:r>
      <w:r>
        <w:rPr>
          <w:rFonts w:hint="eastAsia" w:ascii="宋体" w:hAnsi="宋体" w:eastAsia="宋体"/>
          <w:highlight w:val="none"/>
        </w:rPr>
        <w:t>招标范围、服务期限和质量标准</w:t>
      </w:r>
      <w:bookmarkEnd w:id="21"/>
      <w:bookmarkEnd w:id="22"/>
      <w:bookmarkEnd w:id="23"/>
      <w:bookmarkEnd w:id="24"/>
      <w:bookmarkEnd w:id="25"/>
    </w:p>
    <w:p w14:paraId="4BA905E9">
      <w:pPr>
        <w:spacing w:line="360" w:lineRule="auto"/>
        <w:ind w:firstLine="420" w:firstLineChars="200"/>
        <w:rPr>
          <w:rFonts w:ascii="宋体" w:hAnsi="宋体" w:eastAsia="宋体"/>
          <w:highlight w:val="none"/>
        </w:rPr>
      </w:pPr>
      <w:r>
        <w:rPr>
          <w:rFonts w:ascii="宋体" w:hAnsi="宋体" w:eastAsia="宋体"/>
          <w:highlight w:val="none"/>
        </w:rPr>
        <w:t>1.3.1招标范围：见投标人须知前附表。</w:t>
      </w:r>
    </w:p>
    <w:p w14:paraId="20DDE413">
      <w:pPr>
        <w:spacing w:line="360" w:lineRule="auto"/>
        <w:ind w:firstLine="420" w:firstLineChars="200"/>
        <w:rPr>
          <w:rFonts w:ascii="宋体" w:hAnsi="宋体" w:eastAsia="宋体"/>
          <w:highlight w:val="none"/>
        </w:rPr>
      </w:pPr>
      <w:r>
        <w:rPr>
          <w:rFonts w:ascii="宋体" w:hAnsi="宋体" w:eastAsia="宋体"/>
          <w:highlight w:val="none"/>
        </w:rPr>
        <w:t>1.3.2服务期限：见投标人须知前附表。</w:t>
      </w:r>
    </w:p>
    <w:p w14:paraId="394B30FF">
      <w:pPr>
        <w:spacing w:line="360" w:lineRule="auto"/>
        <w:ind w:firstLine="420" w:firstLineChars="200"/>
        <w:rPr>
          <w:rFonts w:ascii="宋体" w:hAnsi="宋体" w:eastAsia="宋体"/>
          <w:highlight w:val="none"/>
        </w:rPr>
      </w:pPr>
      <w:r>
        <w:rPr>
          <w:rFonts w:ascii="宋体" w:hAnsi="宋体" w:eastAsia="宋体"/>
          <w:highlight w:val="none"/>
        </w:rPr>
        <w:t>1.3.3质量标准：见投标人须知前附表。</w:t>
      </w:r>
    </w:p>
    <w:p w14:paraId="150521CC">
      <w:pPr>
        <w:pStyle w:val="4"/>
        <w:spacing w:after="283" w:line="416" w:lineRule="auto"/>
        <w:ind w:left="132" w:firstLine="0" w:firstLineChars="0"/>
        <w:rPr>
          <w:rFonts w:ascii="宋体" w:hAnsi="宋体" w:eastAsia="宋体"/>
          <w:highlight w:val="none"/>
        </w:rPr>
      </w:pPr>
      <w:bookmarkStart w:id="26" w:name="_Toc36466566"/>
      <w:bookmarkStart w:id="27" w:name="_Toc133420471"/>
      <w:bookmarkStart w:id="28" w:name="_Toc51055715"/>
      <w:bookmarkStart w:id="29" w:name="_Toc45266397"/>
      <w:bookmarkStart w:id="30" w:name="_Toc919"/>
      <w:r>
        <w:rPr>
          <w:rFonts w:ascii="宋体" w:hAnsi="宋体" w:eastAsia="宋体"/>
          <w:highlight w:val="none"/>
        </w:rPr>
        <w:t>1.4投标人资格要求</w:t>
      </w:r>
      <w:bookmarkEnd w:id="26"/>
      <w:bookmarkEnd w:id="27"/>
      <w:bookmarkEnd w:id="28"/>
      <w:bookmarkEnd w:id="29"/>
      <w:bookmarkEnd w:id="30"/>
    </w:p>
    <w:p w14:paraId="56672397">
      <w:pPr>
        <w:spacing w:line="360" w:lineRule="auto"/>
        <w:ind w:firstLine="420" w:firstLineChars="200"/>
        <w:rPr>
          <w:rFonts w:ascii="宋体" w:hAnsi="宋体" w:eastAsia="宋体"/>
          <w:highlight w:val="none"/>
        </w:rPr>
      </w:pPr>
      <w:r>
        <w:rPr>
          <w:rFonts w:ascii="宋体" w:hAnsi="宋体" w:eastAsia="宋体"/>
          <w:highlight w:val="none"/>
        </w:rPr>
        <w:t>1.4.1投标人应具备承担本招标项目资质条件、能力和信誉：</w:t>
      </w:r>
    </w:p>
    <w:p w14:paraId="123EF043">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1）资质要求：见投标人须知前附表；</w:t>
      </w:r>
    </w:p>
    <w:p w14:paraId="257669E9">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（2</w:t>
      </w:r>
      <w:r>
        <w:rPr>
          <w:rFonts w:ascii="宋体" w:hAnsi="宋体" w:eastAsia="宋体"/>
          <w:highlight w:val="none"/>
          <w:u w:val="single"/>
        </w:rPr>
        <w:t xml:space="preserve">）其他要求：见投标人须知前附表。 </w:t>
      </w:r>
    </w:p>
    <w:p w14:paraId="1BC56252">
      <w:pPr>
        <w:spacing w:line="360" w:lineRule="auto"/>
        <w:ind w:firstLine="420" w:firstLineChars="200"/>
        <w:rPr>
          <w:rFonts w:ascii="宋体" w:hAnsi="宋体" w:eastAsia="宋体"/>
          <w:highlight w:val="none"/>
        </w:rPr>
      </w:pPr>
    </w:p>
    <w:p w14:paraId="080DA511">
      <w:pPr>
        <w:spacing w:line="360" w:lineRule="auto"/>
        <w:ind w:firstLine="420" w:firstLineChars="200"/>
        <w:rPr>
          <w:rFonts w:ascii="宋体" w:hAnsi="宋体" w:eastAsia="宋体"/>
          <w:highlight w:val="none"/>
        </w:rPr>
      </w:pPr>
      <w:r>
        <w:rPr>
          <w:rFonts w:hint="eastAsia" w:ascii="宋体" w:hAnsi="宋体" w:eastAsia="宋体"/>
          <w:highlight w:val="none"/>
        </w:rPr>
        <w:t>需要提交的相关证明材料见本章第</w:t>
      </w:r>
      <w:r>
        <w:rPr>
          <w:rFonts w:ascii="宋体" w:hAnsi="宋体" w:eastAsia="宋体"/>
          <w:highlight w:val="none"/>
        </w:rPr>
        <w:t xml:space="preserve"> 3.5 </w:t>
      </w:r>
      <w:r>
        <w:rPr>
          <w:rFonts w:hint="eastAsia" w:ascii="宋体" w:hAnsi="宋体" w:eastAsia="宋体"/>
          <w:highlight w:val="none"/>
        </w:rPr>
        <w:t>款的规定。</w:t>
      </w:r>
    </w:p>
    <w:p w14:paraId="6CEF46DE">
      <w:pPr>
        <w:spacing w:line="360" w:lineRule="auto"/>
        <w:ind w:firstLine="420" w:firstLineChars="200"/>
        <w:rPr>
          <w:rFonts w:ascii="宋体" w:hAnsi="宋体" w:eastAsia="宋体"/>
          <w:highlight w:val="none"/>
        </w:rPr>
      </w:pPr>
      <w:r>
        <w:rPr>
          <w:rFonts w:ascii="宋体" w:hAnsi="宋体" w:eastAsia="宋体"/>
          <w:highlight w:val="none"/>
        </w:rPr>
        <w:t>1.4.3投标人不得存在下列情形之一：</w:t>
      </w:r>
    </w:p>
    <w:p w14:paraId="093C1C2A">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1）为招标人不具有独立法人资格的附属机构（单位）；</w:t>
      </w:r>
    </w:p>
    <w:p w14:paraId="71F90E01">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2）与招标人存在利害关系且可能影响招标公正性；</w:t>
      </w:r>
    </w:p>
    <w:p w14:paraId="47654A39">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3）与本招标项目的其他投标人为同一个单位负责人；</w:t>
      </w:r>
    </w:p>
    <w:p w14:paraId="76BC80EA">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4）与本招标项目的其他投标人存在控股、管理关系；</w:t>
      </w:r>
    </w:p>
    <w:p w14:paraId="2D4ECBD5">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5</w:t>
      </w:r>
      <w:r>
        <w:rPr>
          <w:rFonts w:hint="eastAsia" w:ascii="宋体" w:hAnsi="宋体" w:eastAsia="宋体"/>
          <w:highlight w:val="none"/>
          <w:u w:val="single"/>
        </w:rPr>
        <w:t>）为本招标项目的招标代理机构；</w:t>
      </w:r>
    </w:p>
    <w:p w14:paraId="0AFD8A17">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6</w:t>
      </w:r>
      <w:r>
        <w:rPr>
          <w:rFonts w:hint="eastAsia" w:ascii="宋体" w:hAnsi="宋体" w:eastAsia="宋体"/>
          <w:highlight w:val="none"/>
          <w:u w:val="single"/>
        </w:rPr>
        <w:t>）与本招标项目的招标代理机构同为一个法定代表人；</w:t>
      </w:r>
    </w:p>
    <w:p w14:paraId="18C5B061">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7</w:t>
      </w:r>
      <w:r>
        <w:rPr>
          <w:rFonts w:hint="eastAsia" w:ascii="宋体" w:hAnsi="宋体" w:eastAsia="宋体"/>
          <w:highlight w:val="none"/>
          <w:u w:val="single"/>
        </w:rPr>
        <w:t>）与本招标项目的招标代理机构存在控股或参股关系；</w:t>
      </w:r>
    </w:p>
    <w:p w14:paraId="1D345F67">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8</w:t>
      </w:r>
      <w:r>
        <w:rPr>
          <w:rFonts w:hint="eastAsia" w:ascii="宋体" w:hAnsi="宋体" w:eastAsia="宋体"/>
          <w:highlight w:val="none"/>
          <w:u w:val="single"/>
        </w:rPr>
        <w:t>）被依法暂停或者取消投标资格；</w:t>
      </w:r>
    </w:p>
    <w:p w14:paraId="7F2AB052">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9</w:t>
      </w:r>
      <w:r>
        <w:rPr>
          <w:rFonts w:hint="eastAsia" w:ascii="宋体" w:hAnsi="宋体" w:eastAsia="宋体"/>
          <w:highlight w:val="none"/>
          <w:u w:val="single"/>
        </w:rPr>
        <w:t>）被责令停产停业、暂扣或者吊销许可证、暂扣或者吊销执照；</w:t>
      </w:r>
    </w:p>
    <w:p w14:paraId="6E13B079">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10</w:t>
      </w:r>
      <w:r>
        <w:rPr>
          <w:rFonts w:hint="eastAsia" w:ascii="宋体" w:hAnsi="宋体" w:eastAsia="宋体"/>
          <w:highlight w:val="none"/>
          <w:u w:val="single"/>
        </w:rPr>
        <w:t>）进入清算程序，或被宣告破产，或其他丧失履约能力的情形；</w:t>
      </w:r>
    </w:p>
    <w:p w14:paraId="1D97A23E">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11</w:t>
      </w:r>
      <w:r>
        <w:rPr>
          <w:rFonts w:hint="eastAsia" w:ascii="宋体" w:hAnsi="宋体" w:eastAsia="宋体"/>
          <w:highlight w:val="none"/>
          <w:u w:val="single"/>
        </w:rPr>
        <w:t>）法律法规或投标人须知前附表规定的其他情形。</w:t>
      </w:r>
    </w:p>
    <w:p w14:paraId="2F847384">
      <w:pPr>
        <w:pStyle w:val="4"/>
        <w:spacing w:after="283" w:line="416" w:lineRule="auto"/>
        <w:ind w:left="132" w:firstLine="0" w:firstLineChars="0"/>
        <w:rPr>
          <w:rFonts w:ascii="宋体" w:hAnsi="宋体" w:eastAsia="宋体"/>
          <w:highlight w:val="none"/>
        </w:rPr>
      </w:pPr>
      <w:bookmarkStart w:id="31" w:name="_Toc51055716"/>
      <w:bookmarkStart w:id="32" w:name="_Toc36466567"/>
      <w:bookmarkStart w:id="33" w:name="_Toc133420472"/>
      <w:bookmarkStart w:id="34" w:name="_Toc45266398"/>
      <w:bookmarkStart w:id="35" w:name="_Toc12524"/>
      <w:r>
        <w:rPr>
          <w:rFonts w:ascii="宋体" w:hAnsi="宋体" w:eastAsia="宋体"/>
          <w:highlight w:val="none"/>
        </w:rPr>
        <w:t>1.5费用承担</w:t>
      </w:r>
      <w:bookmarkEnd w:id="31"/>
      <w:bookmarkEnd w:id="32"/>
      <w:bookmarkEnd w:id="33"/>
      <w:bookmarkEnd w:id="34"/>
      <w:bookmarkEnd w:id="35"/>
    </w:p>
    <w:p w14:paraId="4DC8D83D">
      <w:pPr>
        <w:spacing w:line="360" w:lineRule="auto"/>
        <w:ind w:firstLine="420" w:firstLineChars="200"/>
        <w:rPr>
          <w:rFonts w:ascii="宋体" w:hAnsi="宋体" w:eastAsia="宋体"/>
          <w:highlight w:val="none"/>
        </w:rPr>
      </w:pPr>
      <w:r>
        <w:rPr>
          <w:rFonts w:hint="eastAsia" w:ascii="宋体" w:hAnsi="宋体" w:eastAsia="宋体"/>
          <w:highlight w:val="none"/>
        </w:rPr>
        <w:t>投标人准备和参加投标活动发生的费用自理。</w:t>
      </w:r>
    </w:p>
    <w:p w14:paraId="05673E5C">
      <w:pPr>
        <w:pStyle w:val="4"/>
        <w:spacing w:after="283" w:line="416" w:lineRule="auto"/>
        <w:ind w:left="132" w:firstLine="0" w:firstLineChars="0"/>
        <w:rPr>
          <w:rFonts w:ascii="宋体" w:hAnsi="宋体" w:eastAsia="宋体"/>
          <w:highlight w:val="none"/>
        </w:rPr>
      </w:pPr>
      <w:bookmarkStart w:id="36" w:name="_Toc45266399"/>
      <w:bookmarkStart w:id="37" w:name="_Toc36466568"/>
      <w:bookmarkStart w:id="38" w:name="_Toc27802"/>
      <w:bookmarkStart w:id="39" w:name="_Toc133420473"/>
      <w:bookmarkStart w:id="40" w:name="_Toc51055717"/>
      <w:r>
        <w:rPr>
          <w:rFonts w:ascii="宋体" w:hAnsi="宋体" w:eastAsia="宋体"/>
          <w:highlight w:val="none"/>
        </w:rPr>
        <w:t>1.6保密</w:t>
      </w:r>
      <w:bookmarkEnd w:id="36"/>
      <w:bookmarkEnd w:id="37"/>
      <w:bookmarkEnd w:id="38"/>
      <w:bookmarkEnd w:id="39"/>
      <w:bookmarkEnd w:id="40"/>
    </w:p>
    <w:p w14:paraId="57D9E963">
      <w:pPr>
        <w:spacing w:line="360" w:lineRule="auto"/>
        <w:ind w:firstLine="420" w:firstLineChars="200"/>
        <w:rPr>
          <w:rFonts w:ascii="宋体" w:hAnsi="宋体" w:eastAsia="宋体"/>
          <w:highlight w:val="none"/>
        </w:rPr>
      </w:pPr>
      <w:r>
        <w:rPr>
          <w:rFonts w:hint="eastAsia" w:ascii="宋体" w:hAnsi="宋体" w:eastAsia="宋体"/>
          <w:highlight w:val="none"/>
        </w:rPr>
        <w:t>参与招标投标活动的各方应对招标文件和投标文件中的商业和技术等秘密保密，否则应承</w:t>
      </w:r>
      <w:r>
        <w:rPr>
          <w:rFonts w:ascii="宋体" w:hAnsi="宋体" w:eastAsia="宋体"/>
          <w:highlight w:val="none"/>
        </w:rPr>
        <w:t xml:space="preserve"> </w:t>
      </w:r>
      <w:r>
        <w:rPr>
          <w:rFonts w:hint="eastAsia" w:ascii="宋体" w:hAnsi="宋体" w:eastAsia="宋体"/>
          <w:highlight w:val="none"/>
        </w:rPr>
        <w:t>担相应的法律责任。</w:t>
      </w:r>
    </w:p>
    <w:p w14:paraId="32EF2DE2">
      <w:pPr>
        <w:pStyle w:val="4"/>
        <w:spacing w:after="283" w:line="416" w:lineRule="auto"/>
        <w:ind w:left="132" w:firstLine="0" w:firstLineChars="0"/>
        <w:rPr>
          <w:rFonts w:ascii="宋体" w:hAnsi="宋体" w:eastAsia="宋体"/>
          <w:highlight w:val="none"/>
        </w:rPr>
      </w:pPr>
      <w:bookmarkStart w:id="41" w:name="_Toc133420474"/>
      <w:bookmarkStart w:id="42" w:name="_Toc36466569"/>
      <w:bookmarkStart w:id="43" w:name="_Toc19196"/>
      <w:bookmarkStart w:id="44" w:name="_Toc51055718"/>
      <w:bookmarkStart w:id="45" w:name="_Toc45266400"/>
      <w:r>
        <w:rPr>
          <w:rFonts w:ascii="宋体" w:hAnsi="宋体" w:eastAsia="宋体"/>
          <w:highlight w:val="none"/>
        </w:rPr>
        <w:t>1.7语言文字</w:t>
      </w:r>
      <w:bookmarkEnd w:id="41"/>
      <w:bookmarkEnd w:id="42"/>
      <w:bookmarkEnd w:id="43"/>
      <w:bookmarkEnd w:id="44"/>
      <w:bookmarkEnd w:id="45"/>
    </w:p>
    <w:p w14:paraId="635A4CE3">
      <w:pPr>
        <w:spacing w:line="360" w:lineRule="auto"/>
        <w:ind w:firstLine="420" w:firstLineChars="200"/>
        <w:rPr>
          <w:rFonts w:ascii="宋体" w:hAnsi="宋体" w:eastAsia="宋体"/>
          <w:highlight w:val="none"/>
        </w:rPr>
      </w:pPr>
      <w:r>
        <w:rPr>
          <w:rFonts w:hint="eastAsia" w:ascii="宋体" w:hAnsi="宋体" w:eastAsia="宋体"/>
          <w:highlight w:val="none"/>
        </w:rPr>
        <w:t>招标投标文件使用的语言文字为中文。专用术语使用外文的，应附有中文注释。</w:t>
      </w:r>
    </w:p>
    <w:p w14:paraId="7CC593E4">
      <w:pPr>
        <w:pStyle w:val="4"/>
        <w:spacing w:after="283" w:line="416" w:lineRule="auto"/>
        <w:ind w:left="132" w:firstLine="0" w:firstLineChars="0"/>
        <w:rPr>
          <w:rFonts w:ascii="宋体" w:hAnsi="宋体" w:eastAsia="宋体"/>
          <w:highlight w:val="none"/>
        </w:rPr>
      </w:pPr>
      <w:bookmarkStart w:id="46" w:name="_Toc51055719"/>
      <w:bookmarkStart w:id="47" w:name="_Toc36466570"/>
      <w:bookmarkStart w:id="48" w:name="_Toc45266401"/>
      <w:bookmarkStart w:id="49" w:name="_Toc9797"/>
      <w:bookmarkStart w:id="50" w:name="_Toc133420475"/>
      <w:r>
        <w:rPr>
          <w:rFonts w:ascii="宋体" w:hAnsi="宋体" w:eastAsia="宋体"/>
          <w:highlight w:val="none"/>
        </w:rPr>
        <w:t>1.8计量单位</w:t>
      </w:r>
      <w:bookmarkEnd w:id="46"/>
      <w:bookmarkEnd w:id="47"/>
      <w:bookmarkEnd w:id="48"/>
      <w:bookmarkEnd w:id="49"/>
      <w:bookmarkEnd w:id="50"/>
    </w:p>
    <w:p w14:paraId="33453931">
      <w:pPr>
        <w:spacing w:line="360" w:lineRule="auto"/>
        <w:ind w:firstLine="420" w:firstLineChars="200"/>
        <w:rPr>
          <w:rFonts w:ascii="宋体" w:hAnsi="宋体" w:eastAsia="宋体"/>
          <w:highlight w:val="none"/>
        </w:rPr>
      </w:pPr>
      <w:r>
        <w:rPr>
          <w:rFonts w:hint="eastAsia" w:ascii="宋体" w:hAnsi="宋体" w:eastAsia="宋体"/>
          <w:highlight w:val="none"/>
        </w:rPr>
        <w:t>所有计量均采用中华人民共和国法定计量单位。</w:t>
      </w:r>
    </w:p>
    <w:p w14:paraId="3907F1A6">
      <w:pPr>
        <w:pStyle w:val="4"/>
        <w:spacing w:after="283" w:line="416" w:lineRule="auto"/>
        <w:ind w:left="132" w:firstLine="0" w:firstLineChars="0"/>
        <w:rPr>
          <w:rFonts w:ascii="宋体" w:hAnsi="宋体" w:eastAsia="宋体"/>
          <w:highlight w:val="none"/>
        </w:rPr>
      </w:pPr>
      <w:bookmarkStart w:id="51" w:name="_Toc51055720"/>
      <w:bookmarkStart w:id="52" w:name="_Toc45266402"/>
      <w:bookmarkStart w:id="53" w:name="_Toc133420476"/>
      <w:bookmarkStart w:id="54" w:name="_Toc28940"/>
      <w:bookmarkStart w:id="55" w:name="_Toc36466571"/>
      <w:r>
        <w:rPr>
          <w:rFonts w:ascii="宋体" w:hAnsi="宋体" w:eastAsia="宋体"/>
          <w:highlight w:val="none"/>
        </w:rPr>
        <w:t>1.9踏勘现场</w:t>
      </w:r>
      <w:bookmarkEnd w:id="51"/>
      <w:bookmarkEnd w:id="52"/>
      <w:bookmarkEnd w:id="53"/>
      <w:bookmarkEnd w:id="54"/>
      <w:bookmarkEnd w:id="55"/>
    </w:p>
    <w:p w14:paraId="095F6DAC">
      <w:pPr>
        <w:spacing w:line="360" w:lineRule="auto"/>
        <w:ind w:firstLine="420" w:firstLineChars="200"/>
        <w:rPr>
          <w:rFonts w:ascii="宋体" w:hAnsi="宋体" w:eastAsia="宋体"/>
          <w:highlight w:val="none"/>
        </w:rPr>
      </w:pPr>
      <w:r>
        <w:rPr>
          <w:rFonts w:ascii="宋体" w:hAnsi="宋体" w:eastAsia="宋体"/>
          <w:highlight w:val="none"/>
        </w:rPr>
        <w:t xml:space="preserve">1.9.1投标人须知前附表规定组织踏勘现场的，招标人按投标人须知前附表规定的时间、地 </w:t>
      </w:r>
      <w:r>
        <w:rPr>
          <w:rFonts w:hint="eastAsia" w:ascii="宋体" w:hAnsi="宋体" w:eastAsia="宋体"/>
          <w:highlight w:val="none"/>
        </w:rPr>
        <w:t>点组织投标人踏勘项目现场。部分投标人未按时参加踏勘现场的，不影响踏勘现场的正常进行。</w:t>
      </w:r>
    </w:p>
    <w:p w14:paraId="511D7052">
      <w:pPr>
        <w:spacing w:line="360" w:lineRule="auto"/>
        <w:ind w:firstLine="420" w:firstLineChars="200"/>
        <w:rPr>
          <w:rFonts w:ascii="宋体" w:hAnsi="宋体" w:eastAsia="宋体"/>
          <w:highlight w:val="none"/>
        </w:rPr>
      </w:pPr>
      <w:r>
        <w:rPr>
          <w:rFonts w:ascii="宋体" w:hAnsi="宋体" w:eastAsia="宋体"/>
          <w:highlight w:val="none"/>
        </w:rPr>
        <w:t>1.9.2投标人踏勘现场发生的费用自理。</w:t>
      </w:r>
    </w:p>
    <w:p w14:paraId="469C542D">
      <w:pPr>
        <w:spacing w:line="360" w:lineRule="auto"/>
        <w:ind w:firstLine="420" w:firstLineChars="200"/>
        <w:rPr>
          <w:rFonts w:ascii="宋体" w:hAnsi="宋体" w:eastAsia="宋体"/>
          <w:highlight w:val="none"/>
        </w:rPr>
      </w:pPr>
      <w:r>
        <w:rPr>
          <w:rFonts w:ascii="宋体" w:hAnsi="宋体" w:eastAsia="宋体"/>
          <w:highlight w:val="none"/>
        </w:rPr>
        <w:t>1.9.3除招标人的原因外，投标人自行负责在踏勘现场中所发生的人员伤亡和财产损失。</w:t>
      </w:r>
    </w:p>
    <w:p w14:paraId="735012EE">
      <w:pPr>
        <w:spacing w:line="360" w:lineRule="auto"/>
        <w:ind w:firstLine="420" w:firstLineChars="200"/>
        <w:rPr>
          <w:rFonts w:ascii="宋体" w:hAnsi="宋体" w:eastAsia="宋体"/>
          <w:highlight w:val="none"/>
        </w:rPr>
      </w:pPr>
      <w:r>
        <w:rPr>
          <w:rFonts w:ascii="宋体" w:hAnsi="宋体" w:eastAsia="宋体"/>
          <w:highlight w:val="none"/>
        </w:rPr>
        <w:t>1.9.4招标人在踏勘现场中介绍的工程场地和相关的周边环境情况，供投标人在编制投标文件时参考，招标人不对投标人据此作出的判断和决策负责。</w:t>
      </w:r>
    </w:p>
    <w:p w14:paraId="467A2DC6">
      <w:pPr>
        <w:pStyle w:val="4"/>
        <w:spacing w:after="283" w:line="416" w:lineRule="auto"/>
        <w:ind w:left="132" w:firstLine="0" w:firstLineChars="0"/>
        <w:rPr>
          <w:rFonts w:ascii="宋体" w:hAnsi="宋体" w:eastAsia="宋体"/>
          <w:highlight w:val="none"/>
        </w:rPr>
      </w:pPr>
      <w:bookmarkStart w:id="56" w:name="_Toc36466572"/>
      <w:bookmarkStart w:id="57" w:name="_Toc31490"/>
      <w:bookmarkStart w:id="58" w:name="_Toc45266403"/>
      <w:bookmarkStart w:id="59" w:name="_Toc51055721"/>
      <w:bookmarkStart w:id="60" w:name="_Toc133420477"/>
      <w:r>
        <w:rPr>
          <w:rFonts w:ascii="宋体" w:hAnsi="宋体" w:eastAsia="宋体"/>
          <w:highlight w:val="none"/>
        </w:rPr>
        <w:t>1.10投标预备会</w:t>
      </w:r>
      <w:bookmarkEnd w:id="56"/>
      <w:bookmarkEnd w:id="57"/>
      <w:bookmarkEnd w:id="58"/>
      <w:bookmarkEnd w:id="59"/>
      <w:bookmarkEnd w:id="60"/>
    </w:p>
    <w:p w14:paraId="3051895D">
      <w:pPr>
        <w:spacing w:line="360" w:lineRule="auto"/>
        <w:ind w:firstLine="420" w:firstLineChars="200"/>
        <w:rPr>
          <w:rFonts w:ascii="宋体" w:hAnsi="宋体" w:eastAsia="宋体"/>
          <w:highlight w:val="none"/>
        </w:rPr>
      </w:pPr>
      <w:r>
        <w:rPr>
          <w:rFonts w:ascii="宋体" w:hAnsi="宋体" w:eastAsia="宋体"/>
          <w:highlight w:val="none"/>
        </w:rPr>
        <w:t xml:space="preserve">1.10.1投标人须知前附表规定召开投标预备会的，招标人按投标人须知前附表规定的时间 </w:t>
      </w:r>
      <w:r>
        <w:rPr>
          <w:rFonts w:hint="eastAsia" w:ascii="宋体" w:hAnsi="宋体" w:eastAsia="宋体"/>
          <w:highlight w:val="none"/>
        </w:rPr>
        <w:t>和地点召开投标预备会，澄清投标人提出的问题。</w:t>
      </w:r>
    </w:p>
    <w:p w14:paraId="3BE49974">
      <w:pPr>
        <w:spacing w:line="360" w:lineRule="auto"/>
        <w:ind w:firstLine="420" w:firstLineChars="200"/>
        <w:rPr>
          <w:rFonts w:ascii="宋体" w:hAnsi="宋体" w:eastAsia="宋体"/>
          <w:highlight w:val="none"/>
        </w:rPr>
      </w:pPr>
      <w:r>
        <w:rPr>
          <w:rFonts w:ascii="宋体" w:hAnsi="宋体" w:eastAsia="宋体"/>
          <w:highlight w:val="none"/>
        </w:rPr>
        <w:t>1.10.2投标人应按投标人须知前附表规定的时间和形式将提出的问题送达招标人，以便招标人在会议期间澄清。</w:t>
      </w:r>
    </w:p>
    <w:p w14:paraId="15B4242E">
      <w:pPr>
        <w:spacing w:line="360" w:lineRule="auto"/>
        <w:ind w:firstLine="420" w:firstLineChars="200"/>
        <w:rPr>
          <w:rFonts w:ascii="宋体" w:hAnsi="宋体" w:eastAsia="宋体"/>
          <w:highlight w:val="none"/>
        </w:rPr>
      </w:pPr>
      <w:r>
        <w:rPr>
          <w:rFonts w:ascii="宋体" w:hAnsi="宋体" w:eastAsia="宋体"/>
          <w:highlight w:val="none"/>
        </w:rPr>
        <w:t xml:space="preserve">1.10.3投标预备会后，招标人将对投标人所提问题的澄清，以投标人须知前附表规定的形 </w:t>
      </w:r>
      <w:r>
        <w:rPr>
          <w:rFonts w:hint="eastAsia" w:ascii="宋体" w:hAnsi="宋体" w:eastAsia="宋体"/>
          <w:highlight w:val="none"/>
        </w:rPr>
        <w:t>式通知所有购买招标文件的投标人。该澄清内容为招标文件的组成部分。</w:t>
      </w:r>
    </w:p>
    <w:p w14:paraId="23C791BE">
      <w:pPr>
        <w:pStyle w:val="4"/>
        <w:spacing w:after="283" w:line="416" w:lineRule="auto"/>
        <w:ind w:left="132" w:firstLine="0" w:firstLineChars="0"/>
        <w:rPr>
          <w:rFonts w:ascii="宋体" w:hAnsi="宋体" w:eastAsia="宋体"/>
          <w:highlight w:val="none"/>
        </w:rPr>
      </w:pPr>
      <w:bookmarkStart w:id="61" w:name="_Toc133420478"/>
      <w:bookmarkStart w:id="62" w:name="_Toc45266404"/>
      <w:bookmarkStart w:id="63" w:name="_Toc23989"/>
      <w:bookmarkStart w:id="64" w:name="_Toc51055722"/>
      <w:bookmarkStart w:id="65" w:name="_Toc36466573"/>
      <w:r>
        <w:rPr>
          <w:rFonts w:ascii="宋体" w:hAnsi="宋体" w:eastAsia="宋体"/>
          <w:highlight w:val="none"/>
        </w:rPr>
        <w:t>1.11分包</w:t>
      </w:r>
      <w:bookmarkEnd w:id="61"/>
      <w:bookmarkEnd w:id="62"/>
      <w:bookmarkEnd w:id="63"/>
      <w:bookmarkEnd w:id="64"/>
      <w:bookmarkEnd w:id="65"/>
    </w:p>
    <w:p w14:paraId="51360E40">
      <w:pPr>
        <w:ind w:left="520" w:right="-20"/>
        <w:jc w:val="left"/>
        <w:rPr>
          <w:rFonts w:ascii="宋体" w:hAnsi="宋体" w:eastAsia="宋体"/>
          <w:highlight w:val="none"/>
          <w:u w:val="single"/>
        </w:rPr>
      </w:pPr>
      <w:r>
        <w:rPr>
          <w:rFonts w:ascii="宋体" w:hAnsi="宋体" w:eastAsia="宋体"/>
          <w:highlight w:val="none"/>
          <w:u w:val="single"/>
        </w:rPr>
        <w:t>本项</w:t>
      </w:r>
      <w:r>
        <w:rPr>
          <w:rFonts w:hint="eastAsia" w:ascii="宋体" w:hAnsi="宋体" w:eastAsia="宋体"/>
          <w:highlight w:val="none"/>
          <w:u w:val="single"/>
        </w:rPr>
        <w:t>允许依法</w:t>
      </w:r>
      <w:r>
        <w:rPr>
          <w:rFonts w:ascii="宋体" w:hAnsi="宋体" w:eastAsia="宋体"/>
          <w:highlight w:val="none"/>
          <w:u w:val="single"/>
        </w:rPr>
        <w:t>分包</w:t>
      </w:r>
      <w:r>
        <w:rPr>
          <w:rFonts w:hint="eastAsia" w:ascii="宋体" w:hAnsi="宋体" w:eastAsia="宋体"/>
          <w:highlight w:val="none"/>
          <w:u w:val="single"/>
        </w:rPr>
        <w:t>，但需要报招标人审核同意方可依法分包</w:t>
      </w:r>
      <w:r>
        <w:rPr>
          <w:rFonts w:ascii="宋体" w:hAnsi="宋体" w:eastAsia="宋体"/>
          <w:highlight w:val="none"/>
          <w:u w:val="single"/>
        </w:rPr>
        <w:t>。</w:t>
      </w:r>
    </w:p>
    <w:p w14:paraId="510B2E46">
      <w:pPr>
        <w:pStyle w:val="4"/>
        <w:spacing w:after="283" w:line="416" w:lineRule="auto"/>
        <w:ind w:left="132" w:firstLine="0" w:firstLineChars="0"/>
        <w:rPr>
          <w:rFonts w:ascii="宋体" w:hAnsi="宋体" w:eastAsia="宋体"/>
          <w:highlight w:val="none"/>
        </w:rPr>
      </w:pPr>
      <w:bookmarkStart w:id="66" w:name="_Toc13710"/>
      <w:bookmarkStart w:id="67" w:name="_Toc51055723"/>
      <w:bookmarkStart w:id="68" w:name="_Toc36466574"/>
      <w:bookmarkStart w:id="69" w:name="_Toc45266405"/>
      <w:bookmarkStart w:id="70" w:name="_Toc133420479"/>
      <w:r>
        <w:rPr>
          <w:rFonts w:ascii="宋体" w:hAnsi="宋体" w:eastAsia="宋体"/>
          <w:highlight w:val="none"/>
        </w:rPr>
        <w:t>1.12响应和偏差</w:t>
      </w:r>
      <w:bookmarkEnd w:id="66"/>
      <w:bookmarkEnd w:id="67"/>
      <w:bookmarkEnd w:id="68"/>
      <w:bookmarkEnd w:id="69"/>
      <w:bookmarkEnd w:id="70"/>
    </w:p>
    <w:p w14:paraId="2AF34B77">
      <w:pPr>
        <w:spacing w:line="360" w:lineRule="auto"/>
        <w:ind w:firstLine="420" w:firstLineChars="200"/>
        <w:rPr>
          <w:rFonts w:ascii="宋体" w:hAnsi="宋体" w:eastAsia="宋体"/>
          <w:highlight w:val="none"/>
        </w:rPr>
      </w:pPr>
      <w:r>
        <w:rPr>
          <w:rFonts w:ascii="宋体" w:hAnsi="宋体" w:eastAsia="宋体"/>
          <w:highlight w:val="none"/>
        </w:rPr>
        <w:t>1.12.1投标文件应当对招标文件的实质性要求和条件作出满足性或更有利于招标人的响应，否则，投标人的投标将被否决。实质性要求和条件见投标人须知前附表。</w:t>
      </w:r>
    </w:p>
    <w:p w14:paraId="63B3A645">
      <w:pPr>
        <w:spacing w:line="360" w:lineRule="auto"/>
        <w:ind w:firstLine="420" w:firstLineChars="200"/>
        <w:rPr>
          <w:rFonts w:ascii="宋体" w:hAnsi="宋体" w:eastAsia="宋体"/>
          <w:highlight w:val="none"/>
        </w:rPr>
      </w:pPr>
      <w:r>
        <w:rPr>
          <w:rFonts w:ascii="宋体" w:hAnsi="宋体" w:eastAsia="宋体"/>
          <w:highlight w:val="none"/>
        </w:rPr>
        <w:t>1.12.2投标人应根据招标文件的要求提供投标技术服务方案等内容以对招标文件作出响应。</w:t>
      </w:r>
    </w:p>
    <w:p w14:paraId="632FB657">
      <w:pPr>
        <w:spacing w:line="360" w:lineRule="auto"/>
        <w:ind w:firstLine="420" w:firstLineChars="200"/>
        <w:rPr>
          <w:rFonts w:ascii="宋体" w:hAnsi="宋体" w:eastAsia="宋体"/>
          <w:highlight w:val="none"/>
        </w:rPr>
      </w:pPr>
      <w:r>
        <w:rPr>
          <w:rFonts w:ascii="宋体" w:hAnsi="宋体" w:eastAsia="宋体"/>
          <w:highlight w:val="none"/>
        </w:rPr>
        <w:t>1.12.3投标人须知前附表允许投标文件偏离招标文件某些要求的，偏差应当符合招标文件规定的偏差范围和幅度。</w:t>
      </w:r>
    </w:p>
    <w:p w14:paraId="3BBE884D">
      <w:pPr>
        <w:pStyle w:val="3"/>
        <w:rPr>
          <w:color w:val="auto"/>
          <w:highlight w:val="none"/>
        </w:rPr>
      </w:pPr>
      <w:bookmarkStart w:id="71" w:name="_Toc26909"/>
      <w:r>
        <w:rPr>
          <w:color w:val="auto"/>
          <w:highlight w:val="none"/>
        </w:rPr>
        <w:t>2.招标文件</w:t>
      </w:r>
      <w:bookmarkEnd w:id="71"/>
    </w:p>
    <w:p w14:paraId="21E362E5">
      <w:pPr>
        <w:pStyle w:val="4"/>
        <w:spacing w:after="283" w:line="416" w:lineRule="auto"/>
        <w:ind w:left="132" w:firstLine="0" w:firstLineChars="0"/>
        <w:rPr>
          <w:rFonts w:ascii="宋体" w:hAnsi="宋体" w:eastAsia="宋体"/>
          <w:highlight w:val="none"/>
        </w:rPr>
      </w:pPr>
      <w:bookmarkStart w:id="72" w:name="_Toc11346"/>
      <w:bookmarkStart w:id="73" w:name="_Toc133420481"/>
      <w:bookmarkStart w:id="74" w:name="_Toc45266407"/>
      <w:bookmarkStart w:id="75" w:name="_Toc51055725"/>
      <w:bookmarkStart w:id="76" w:name="_Toc36466576"/>
      <w:r>
        <w:rPr>
          <w:rFonts w:ascii="宋体" w:hAnsi="宋体" w:eastAsia="宋体"/>
          <w:highlight w:val="none"/>
        </w:rPr>
        <w:t>2.1招标文件的组成</w:t>
      </w:r>
      <w:bookmarkEnd w:id="72"/>
      <w:bookmarkEnd w:id="73"/>
      <w:bookmarkEnd w:id="74"/>
      <w:bookmarkEnd w:id="75"/>
      <w:bookmarkEnd w:id="76"/>
    </w:p>
    <w:p w14:paraId="6EF5A04B">
      <w:pPr>
        <w:spacing w:line="360" w:lineRule="auto"/>
        <w:ind w:firstLine="420" w:firstLineChars="200"/>
        <w:rPr>
          <w:rFonts w:ascii="宋体" w:hAnsi="宋体" w:eastAsia="宋体"/>
          <w:highlight w:val="none"/>
        </w:rPr>
      </w:pPr>
      <w:r>
        <w:rPr>
          <w:rFonts w:hint="eastAsia" w:ascii="宋体" w:hAnsi="宋体" w:eastAsia="宋体"/>
          <w:highlight w:val="none"/>
        </w:rPr>
        <w:t>本招标文件包括：</w:t>
      </w:r>
    </w:p>
    <w:p w14:paraId="78005433">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1）招标公告</w:t>
      </w:r>
    </w:p>
    <w:p w14:paraId="144A6A71">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2）投标人须知；</w:t>
      </w:r>
    </w:p>
    <w:p w14:paraId="019C124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3）评标办法；</w:t>
      </w:r>
    </w:p>
    <w:p w14:paraId="5517B06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4）合同条款及格式；</w:t>
      </w:r>
    </w:p>
    <w:p w14:paraId="1322578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5）委托人要求；</w:t>
      </w:r>
    </w:p>
    <w:p w14:paraId="54A8F0FC">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6）投标文件格式；</w:t>
      </w:r>
    </w:p>
    <w:p w14:paraId="15870507">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7）投标人须知前附表规定的其他资料。</w:t>
      </w:r>
    </w:p>
    <w:p w14:paraId="0213EFDA">
      <w:pPr>
        <w:spacing w:line="360" w:lineRule="auto"/>
        <w:ind w:firstLine="420" w:firstLineChars="200"/>
        <w:rPr>
          <w:rFonts w:ascii="宋体" w:hAnsi="宋体" w:eastAsia="宋体"/>
          <w:highlight w:val="none"/>
        </w:rPr>
      </w:pPr>
      <w:r>
        <w:rPr>
          <w:rFonts w:hint="eastAsia" w:ascii="宋体" w:hAnsi="宋体" w:eastAsia="宋体"/>
          <w:highlight w:val="none"/>
        </w:rPr>
        <w:t>根据本章第</w:t>
      </w:r>
      <w:r>
        <w:rPr>
          <w:rFonts w:ascii="宋体" w:hAnsi="宋体" w:eastAsia="宋体"/>
          <w:highlight w:val="none"/>
        </w:rPr>
        <w:t xml:space="preserve"> 1.10 </w:t>
      </w:r>
      <w:r>
        <w:rPr>
          <w:rFonts w:hint="eastAsia" w:ascii="宋体" w:hAnsi="宋体" w:eastAsia="宋体"/>
          <w:highlight w:val="none"/>
        </w:rPr>
        <w:t>款、第</w:t>
      </w:r>
      <w:r>
        <w:rPr>
          <w:rFonts w:ascii="宋体" w:hAnsi="宋体" w:eastAsia="宋体"/>
          <w:highlight w:val="none"/>
        </w:rPr>
        <w:t xml:space="preserve"> 2.2 </w:t>
      </w:r>
      <w:r>
        <w:rPr>
          <w:rFonts w:hint="eastAsia" w:ascii="宋体" w:hAnsi="宋体" w:eastAsia="宋体"/>
          <w:highlight w:val="none"/>
        </w:rPr>
        <w:t>款和第</w:t>
      </w:r>
      <w:r>
        <w:rPr>
          <w:rFonts w:ascii="宋体" w:hAnsi="宋体" w:eastAsia="宋体"/>
          <w:highlight w:val="none"/>
        </w:rPr>
        <w:t xml:space="preserve"> 2.3 </w:t>
      </w:r>
      <w:r>
        <w:rPr>
          <w:rFonts w:hint="eastAsia" w:ascii="宋体" w:hAnsi="宋体" w:eastAsia="宋体"/>
          <w:highlight w:val="none"/>
        </w:rPr>
        <w:t>款对招标文件所作的澄清、修改，构成招标文件的组成部分。</w:t>
      </w:r>
    </w:p>
    <w:p w14:paraId="17E68992">
      <w:pPr>
        <w:pStyle w:val="4"/>
        <w:spacing w:after="283" w:line="416" w:lineRule="auto"/>
        <w:ind w:left="132" w:firstLine="0" w:firstLineChars="0"/>
        <w:rPr>
          <w:rFonts w:ascii="宋体" w:hAnsi="宋体" w:eastAsia="宋体"/>
          <w:highlight w:val="none"/>
        </w:rPr>
      </w:pPr>
      <w:bookmarkStart w:id="77" w:name="_Toc36466577"/>
      <w:bookmarkStart w:id="78" w:name="_Toc51055726"/>
      <w:bookmarkStart w:id="79" w:name="_Toc133420482"/>
      <w:bookmarkStart w:id="80" w:name="_Toc23421"/>
      <w:bookmarkStart w:id="81" w:name="_Toc45266408"/>
      <w:r>
        <w:rPr>
          <w:rFonts w:ascii="宋体" w:hAnsi="宋体" w:eastAsia="宋体"/>
          <w:highlight w:val="none"/>
        </w:rPr>
        <w:t>2.2招标文件的澄清</w:t>
      </w:r>
      <w:bookmarkEnd w:id="77"/>
      <w:bookmarkEnd w:id="78"/>
      <w:bookmarkEnd w:id="79"/>
      <w:bookmarkEnd w:id="80"/>
      <w:bookmarkEnd w:id="81"/>
    </w:p>
    <w:p w14:paraId="22096B92">
      <w:pPr>
        <w:spacing w:line="360" w:lineRule="auto"/>
        <w:ind w:firstLine="420" w:firstLineChars="200"/>
        <w:rPr>
          <w:rFonts w:ascii="宋体" w:hAnsi="宋体" w:eastAsia="宋体"/>
          <w:highlight w:val="none"/>
        </w:rPr>
      </w:pPr>
      <w:r>
        <w:rPr>
          <w:rFonts w:ascii="宋体" w:hAnsi="宋体" w:eastAsia="宋体"/>
          <w:highlight w:val="none"/>
        </w:rPr>
        <w:t xml:space="preserve">2.2.1投标人应仔细阅读和检查招标文件的全部内容。如发现缺页或附件不全，应及时向招 </w:t>
      </w:r>
      <w:r>
        <w:rPr>
          <w:rFonts w:hint="eastAsia" w:ascii="宋体" w:hAnsi="宋体" w:eastAsia="宋体"/>
          <w:highlight w:val="none"/>
        </w:rPr>
        <w:t>标人提出，以便补齐。如有疑问，应按投标人须知前附表规定的时间和形式将提出的问题送达招标人，要求招标人对招标文件予以澄清。</w:t>
      </w:r>
    </w:p>
    <w:p w14:paraId="141E5096">
      <w:pPr>
        <w:spacing w:line="360" w:lineRule="auto"/>
        <w:ind w:firstLine="420" w:firstLineChars="200"/>
        <w:rPr>
          <w:rFonts w:ascii="宋体" w:hAnsi="宋体" w:eastAsia="宋体"/>
          <w:highlight w:val="none"/>
        </w:rPr>
      </w:pPr>
      <w:r>
        <w:rPr>
          <w:rFonts w:ascii="宋体" w:hAnsi="宋体" w:eastAsia="宋体"/>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A427404">
      <w:pPr>
        <w:spacing w:line="360" w:lineRule="auto"/>
        <w:ind w:firstLine="420" w:firstLineChars="200"/>
        <w:rPr>
          <w:rFonts w:ascii="宋体" w:hAnsi="宋体" w:eastAsia="宋体"/>
          <w:highlight w:val="none"/>
        </w:rPr>
      </w:pPr>
      <w:r>
        <w:rPr>
          <w:rFonts w:ascii="宋体" w:hAnsi="宋体" w:eastAsia="宋体"/>
          <w:highlight w:val="none"/>
        </w:rPr>
        <w:t>2.2.3投标人在收到澄清后，应按投标人须知前附表规定的时间和形式通知招标人，确认已收到该澄清。</w:t>
      </w:r>
    </w:p>
    <w:p w14:paraId="2EC57EBF">
      <w:pPr>
        <w:spacing w:line="360" w:lineRule="auto"/>
        <w:ind w:firstLine="420" w:firstLineChars="200"/>
        <w:rPr>
          <w:rFonts w:ascii="宋体" w:hAnsi="宋体" w:eastAsia="宋体"/>
          <w:highlight w:val="none"/>
        </w:rPr>
      </w:pPr>
      <w:r>
        <w:rPr>
          <w:rFonts w:ascii="宋体" w:hAnsi="宋体" w:eastAsia="宋体"/>
          <w:highlight w:val="none"/>
        </w:rPr>
        <w:t>2.2.4除非招标人认为确有必要答复，否则，招标人有权拒绝回复投标人在本章第2.2.1项规定的时间后的任何澄清要求。</w:t>
      </w:r>
    </w:p>
    <w:p w14:paraId="5D5051DB">
      <w:pPr>
        <w:pStyle w:val="4"/>
        <w:spacing w:after="283" w:line="416" w:lineRule="auto"/>
        <w:ind w:left="132" w:firstLine="0" w:firstLineChars="0"/>
        <w:rPr>
          <w:rFonts w:ascii="宋体" w:hAnsi="宋体" w:eastAsia="宋体"/>
          <w:highlight w:val="none"/>
        </w:rPr>
      </w:pPr>
      <w:bookmarkStart w:id="82" w:name="_Toc45266409"/>
      <w:bookmarkStart w:id="83" w:name="_Toc27723"/>
      <w:bookmarkStart w:id="84" w:name="_Toc51055727"/>
      <w:bookmarkStart w:id="85" w:name="_Toc133420483"/>
      <w:bookmarkStart w:id="86" w:name="_Toc36466578"/>
      <w:r>
        <w:rPr>
          <w:rFonts w:ascii="宋体" w:hAnsi="宋体" w:eastAsia="宋体"/>
          <w:highlight w:val="none"/>
        </w:rPr>
        <w:t>2.3招标文件的修改</w:t>
      </w:r>
      <w:bookmarkEnd w:id="82"/>
      <w:bookmarkEnd w:id="83"/>
      <w:bookmarkEnd w:id="84"/>
      <w:bookmarkEnd w:id="85"/>
      <w:bookmarkEnd w:id="86"/>
    </w:p>
    <w:p w14:paraId="2B8D9D09">
      <w:pPr>
        <w:spacing w:line="360" w:lineRule="auto"/>
        <w:ind w:firstLine="420" w:firstLineChars="200"/>
        <w:rPr>
          <w:rFonts w:ascii="宋体" w:hAnsi="宋体" w:eastAsia="宋体"/>
          <w:highlight w:val="none"/>
        </w:rPr>
      </w:pPr>
      <w:r>
        <w:rPr>
          <w:rFonts w:ascii="宋体" w:hAnsi="宋体" w:eastAsia="宋体"/>
          <w:highlight w:val="none"/>
        </w:rPr>
        <w:t xml:space="preserve">2.3.1招标人以投标人须知前附表规定的形式修改招标文件，并通知所有已购买招标文件的投标人。修改招标文件的时间距本章第 4.2.1 </w:t>
      </w:r>
      <w:r>
        <w:rPr>
          <w:rFonts w:hint="eastAsia" w:ascii="宋体" w:hAnsi="宋体" w:eastAsia="宋体"/>
          <w:highlight w:val="none"/>
        </w:rPr>
        <w:t>项规定的投标截止时间不足</w:t>
      </w:r>
      <w:r>
        <w:rPr>
          <w:rFonts w:ascii="宋体" w:hAnsi="宋体" w:eastAsia="宋体"/>
          <w:highlight w:val="none"/>
        </w:rPr>
        <w:t xml:space="preserve"> 15 </w:t>
      </w:r>
      <w:r>
        <w:rPr>
          <w:rFonts w:hint="eastAsia" w:ascii="宋体" w:hAnsi="宋体" w:eastAsia="宋体"/>
          <w:highlight w:val="none"/>
        </w:rPr>
        <w:t>日的，并且修改内容可能影响投标文件编制的，将相应延长投标截止时间。</w:t>
      </w:r>
    </w:p>
    <w:p w14:paraId="77001753">
      <w:pPr>
        <w:spacing w:line="360" w:lineRule="auto"/>
        <w:ind w:firstLine="420" w:firstLineChars="200"/>
        <w:rPr>
          <w:rFonts w:ascii="宋体" w:hAnsi="宋体" w:eastAsia="宋体"/>
          <w:highlight w:val="none"/>
        </w:rPr>
      </w:pPr>
      <w:r>
        <w:rPr>
          <w:rFonts w:ascii="宋体" w:hAnsi="宋体" w:eastAsia="宋体"/>
          <w:highlight w:val="none"/>
        </w:rPr>
        <w:t>2.3.2投标人收到修改内容后，应按投标人须知前附表规定的时间和形式通知招标人，</w:t>
      </w:r>
      <w:r>
        <w:rPr>
          <w:rFonts w:hint="eastAsia" w:ascii="宋体" w:hAnsi="宋体" w:eastAsia="宋体"/>
          <w:highlight w:val="none"/>
        </w:rPr>
        <w:t>确认已收到该修改。</w:t>
      </w:r>
    </w:p>
    <w:p w14:paraId="1C30ED4F">
      <w:pPr>
        <w:pStyle w:val="4"/>
        <w:spacing w:after="283" w:line="416" w:lineRule="auto"/>
        <w:ind w:left="132" w:firstLine="0" w:firstLineChars="0"/>
        <w:rPr>
          <w:rFonts w:ascii="宋体" w:hAnsi="宋体" w:eastAsia="宋体"/>
          <w:highlight w:val="none"/>
        </w:rPr>
      </w:pPr>
      <w:bookmarkStart w:id="87" w:name="_Toc51055728"/>
      <w:bookmarkStart w:id="88" w:name="_Toc133420484"/>
      <w:bookmarkStart w:id="89" w:name="_Toc45266410"/>
      <w:bookmarkStart w:id="90" w:name="_Toc36466579"/>
      <w:bookmarkStart w:id="91" w:name="_Toc1246"/>
      <w:r>
        <w:rPr>
          <w:rFonts w:ascii="宋体" w:hAnsi="宋体" w:eastAsia="宋体"/>
          <w:highlight w:val="none"/>
        </w:rPr>
        <w:t>2.4招标文件的异议</w:t>
      </w:r>
      <w:bookmarkEnd w:id="87"/>
      <w:bookmarkEnd w:id="88"/>
      <w:bookmarkEnd w:id="89"/>
      <w:bookmarkEnd w:id="90"/>
      <w:bookmarkEnd w:id="91"/>
    </w:p>
    <w:p w14:paraId="0C13F639">
      <w:pPr>
        <w:spacing w:line="360" w:lineRule="auto"/>
        <w:ind w:firstLine="420" w:firstLineChars="200"/>
        <w:rPr>
          <w:rFonts w:ascii="宋体" w:hAnsi="宋体" w:eastAsia="宋体"/>
          <w:highlight w:val="none"/>
        </w:rPr>
      </w:pPr>
      <w:r>
        <w:rPr>
          <w:rFonts w:hint="eastAsia" w:ascii="宋体" w:hAnsi="宋体" w:eastAsia="宋体"/>
          <w:highlight w:val="none"/>
        </w:rPr>
        <w:t>投标人或者其他利害关系人对招标文件有异议的，应当在投标截止时间</w:t>
      </w:r>
      <w:r>
        <w:rPr>
          <w:rFonts w:ascii="宋体" w:hAnsi="宋体" w:eastAsia="宋体"/>
          <w:highlight w:val="none"/>
        </w:rPr>
        <w:t>10日前以书面形式提出。招标人将在收到异议之日起3日内作出答复；作出答复前，将暂停招标投标活动。</w:t>
      </w:r>
    </w:p>
    <w:p w14:paraId="294BB9EA">
      <w:pPr>
        <w:pStyle w:val="3"/>
        <w:rPr>
          <w:color w:val="auto"/>
          <w:highlight w:val="none"/>
        </w:rPr>
      </w:pPr>
      <w:bookmarkStart w:id="92" w:name="_Toc10331"/>
      <w:r>
        <w:rPr>
          <w:color w:val="auto"/>
          <w:highlight w:val="none"/>
        </w:rPr>
        <w:t xml:space="preserve">3. </w:t>
      </w:r>
      <w:r>
        <w:rPr>
          <w:rFonts w:hint="eastAsia"/>
          <w:color w:val="auto"/>
          <w:highlight w:val="none"/>
        </w:rPr>
        <w:t>投标文件</w:t>
      </w:r>
      <w:bookmarkEnd w:id="92"/>
    </w:p>
    <w:p w14:paraId="6BF76D07">
      <w:pPr>
        <w:pStyle w:val="4"/>
        <w:spacing w:after="283" w:line="416" w:lineRule="auto"/>
        <w:ind w:left="132" w:firstLine="0" w:firstLineChars="0"/>
        <w:rPr>
          <w:rFonts w:ascii="宋体" w:hAnsi="宋体" w:eastAsia="宋体"/>
          <w:highlight w:val="none"/>
        </w:rPr>
      </w:pPr>
      <w:bookmarkStart w:id="93" w:name="_Toc133420486"/>
      <w:bookmarkStart w:id="94" w:name="_Toc19377"/>
      <w:bookmarkStart w:id="95" w:name="_Toc45266412"/>
      <w:bookmarkStart w:id="96" w:name="_Toc51055730"/>
      <w:bookmarkStart w:id="97" w:name="_Toc36466581"/>
      <w:r>
        <w:rPr>
          <w:rFonts w:ascii="宋体" w:hAnsi="宋体" w:eastAsia="宋体"/>
          <w:highlight w:val="none"/>
        </w:rPr>
        <w:t>3.1投标文件的组成</w:t>
      </w:r>
      <w:bookmarkEnd w:id="93"/>
      <w:bookmarkEnd w:id="94"/>
      <w:bookmarkEnd w:id="95"/>
      <w:bookmarkEnd w:id="96"/>
      <w:bookmarkEnd w:id="97"/>
    </w:p>
    <w:p w14:paraId="348ADAE8">
      <w:pPr>
        <w:spacing w:line="360" w:lineRule="auto"/>
        <w:ind w:firstLine="420" w:firstLineChars="200"/>
        <w:rPr>
          <w:rFonts w:ascii="宋体" w:hAnsi="宋体" w:eastAsia="宋体"/>
          <w:highlight w:val="none"/>
        </w:rPr>
      </w:pPr>
      <w:r>
        <w:rPr>
          <w:rFonts w:ascii="宋体" w:hAnsi="宋体" w:eastAsia="宋体"/>
          <w:highlight w:val="none"/>
        </w:rPr>
        <w:t>3.1.1投标文件应包括下列内容：</w:t>
      </w:r>
    </w:p>
    <w:p w14:paraId="74641F6E">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一、投标函及附录；</w:t>
      </w:r>
    </w:p>
    <w:p w14:paraId="0BD9E401">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二、法定代表人证明书及授权委托书；</w:t>
      </w:r>
    </w:p>
    <w:p w14:paraId="4D37C790">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三、投标报价表；</w:t>
      </w:r>
    </w:p>
    <w:p w14:paraId="3613551D">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四、资格审查资料；</w:t>
      </w:r>
    </w:p>
    <w:p w14:paraId="4BE8EC0C">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五、投标人声明；</w:t>
      </w:r>
    </w:p>
    <w:p w14:paraId="659958F6">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六、商务部分证明材料；</w:t>
      </w:r>
    </w:p>
    <w:p w14:paraId="2A60B415">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七、技术服务方案；</w:t>
      </w:r>
    </w:p>
    <w:p w14:paraId="1442B1BB">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八、其他资料；</w:t>
      </w:r>
    </w:p>
    <w:p w14:paraId="7F747699">
      <w:pPr>
        <w:spacing w:line="360" w:lineRule="auto"/>
        <w:ind w:firstLine="420" w:firstLineChars="200"/>
        <w:rPr>
          <w:rFonts w:ascii="宋体" w:hAnsi="宋体" w:eastAsia="宋体"/>
          <w:highlight w:val="none"/>
        </w:rPr>
      </w:pPr>
      <w:r>
        <w:rPr>
          <w:rFonts w:hint="eastAsia" w:ascii="宋体" w:hAnsi="宋体" w:eastAsia="宋体"/>
          <w:highlight w:val="none"/>
        </w:rPr>
        <w:t>投标人在评标过程中作出的符合法律法规和招标文件规定的澄清确认，构成投标文件的组成部分。</w:t>
      </w:r>
    </w:p>
    <w:p w14:paraId="55C325D9">
      <w:pPr>
        <w:spacing w:line="360" w:lineRule="auto"/>
        <w:ind w:firstLine="420" w:firstLineChars="200"/>
        <w:rPr>
          <w:rFonts w:ascii="宋体" w:hAnsi="宋体" w:eastAsia="宋体"/>
          <w:highlight w:val="none"/>
        </w:rPr>
      </w:pPr>
    </w:p>
    <w:p w14:paraId="4ABB7124">
      <w:pPr>
        <w:pStyle w:val="4"/>
        <w:spacing w:after="283" w:line="416" w:lineRule="auto"/>
        <w:ind w:left="132" w:firstLine="0" w:firstLineChars="0"/>
        <w:rPr>
          <w:rFonts w:ascii="宋体" w:hAnsi="宋体" w:eastAsia="宋体"/>
          <w:highlight w:val="none"/>
        </w:rPr>
      </w:pPr>
      <w:bookmarkStart w:id="98" w:name="_Toc133420487"/>
      <w:bookmarkStart w:id="99" w:name="_Toc45266413"/>
      <w:bookmarkStart w:id="100" w:name="_Toc36466582"/>
      <w:bookmarkStart w:id="101" w:name="_Toc30715"/>
      <w:bookmarkStart w:id="102" w:name="_Toc51055731"/>
      <w:r>
        <w:rPr>
          <w:rFonts w:ascii="宋体" w:hAnsi="宋体" w:eastAsia="宋体"/>
          <w:highlight w:val="none"/>
        </w:rPr>
        <w:t>3.2投标报价</w:t>
      </w:r>
      <w:bookmarkEnd w:id="98"/>
      <w:bookmarkEnd w:id="99"/>
      <w:bookmarkEnd w:id="100"/>
      <w:bookmarkEnd w:id="101"/>
      <w:bookmarkEnd w:id="102"/>
    </w:p>
    <w:p w14:paraId="40C005C6">
      <w:pPr>
        <w:spacing w:line="360" w:lineRule="auto"/>
        <w:ind w:firstLine="420" w:firstLineChars="200"/>
        <w:rPr>
          <w:rFonts w:ascii="宋体" w:hAnsi="宋体" w:eastAsia="宋体"/>
          <w:highlight w:val="none"/>
        </w:rPr>
      </w:pPr>
      <w:r>
        <w:rPr>
          <w:rFonts w:ascii="宋体" w:hAnsi="宋体" w:eastAsia="宋体"/>
          <w:highlight w:val="none"/>
        </w:rPr>
        <w:t>3.2.1投标报价应包括国家规定的增值税税金，除投标人须知前附表另有规定外，增值税税金按一般计税方法计算。投标人应按第六章“投标文件格式”的要求在投标函中进行报价并填写投标报价表。</w:t>
      </w:r>
    </w:p>
    <w:p w14:paraId="47528A0B">
      <w:pPr>
        <w:spacing w:line="360" w:lineRule="auto"/>
        <w:ind w:firstLine="420" w:firstLineChars="200"/>
        <w:rPr>
          <w:rFonts w:ascii="宋体" w:hAnsi="宋体" w:eastAsia="宋体"/>
          <w:highlight w:val="none"/>
        </w:rPr>
      </w:pPr>
      <w:r>
        <w:rPr>
          <w:rFonts w:ascii="宋体" w:hAnsi="宋体" w:eastAsia="宋体"/>
          <w:highlight w:val="none"/>
        </w:rPr>
        <w:t xml:space="preserve">3.2.2 </w:t>
      </w:r>
      <w:r>
        <w:rPr>
          <w:rFonts w:hint="eastAsia" w:ascii="宋体" w:hAnsi="宋体" w:eastAsia="宋体"/>
          <w:highlight w:val="none"/>
        </w:rPr>
        <w:t>投标人应充分了解该项目的总体情况以及影响投标报价的其他要素。</w:t>
      </w:r>
    </w:p>
    <w:p w14:paraId="445248D1">
      <w:pPr>
        <w:spacing w:line="360" w:lineRule="auto"/>
        <w:ind w:firstLine="420" w:firstLineChars="200"/>
        <w:rPr>
          <w:rFonts w:ascii="宋体" w:hAnsi="宋体" w:eastAsia="宋体"/>
          <w:highlight w:val="none"/>
        </w:rPr>
      </w:pPr>
      <w:r>
        <w:rPr>
          <w:rFonts w:ascii="宋体" w:hAnsi="宋体" w:eastAsia="宋体"/>
          <w:highlight w:val="none"/>
        </w:rPr>
        <w:t xml:space="preserve">3.2.3 </w:t>
      </w:r>
      <w:r>
        <w:rPr>
          <w:rFonts w:hint="eastAsia" w:ascii="宋体" w:hAnsi="宋体" w:eastAsia="宋体"/>
          <w:highlight w:val="none"/>
        </w:rPr>
        <w:t>本项目的报价方式见投标人须知前附表。投标人在投标截止时间前修改投标函中的投标报价总额，应同时修改投标文件“投标函附录”及“报价书”的相应报价。此修改须符合本章第</w:t>
      </w:r>
      <w:r>
        <w:rPr>
          <w:rFonts w:ascii="宋体" w:hAnsi="宋体" w:eastAsia="宋体"/>
          <w:highlight w:val="none"/>
        </w:rPr>
        <w:t>4.3款的有关要求。</w:t>
      </w:r>
    </w:p>
    <w:p w14:paraId="251EC877">
      <w:pPr>
        <w:spacing w:line="360" w:lineRule="auto"/>
        <w:ind w:firstLine="420" w:firstLineChars="200"/>
        <w:rPr>
          <w:rFonts w:ascii="宋体" w:hAnsi="宋体" w:eastAsia="宋体"/>
          <w:highlight w:val="none"/>
        </w:rPr>
      </w:pPr>
      <w:r>
        <w:rPr>
          <w:rFonts w:ascii="宋体" w:hAnsi="宋体" w:eastAsia="宋体"/>
          <w:highlight w:val="none"/>
        </w:rPr>
        <w:t>3.2.4招标人设有最高投标限价的，投标人的投标报价不得超过最高投标限价，最高投标限 价在投标人须知前附表中载明。</w:t>
      </w:r>
    </w:p>
    <w:p w14:paraId="4A0AE1C0">
      <w:pPr>
        <w:spacing w:line="360" w:lineRule="auto"/>
        <w:ind w:firstLine="420" w:firstLineChars="200"/>
        <w:rPr>
          <w:rFonts w:ascii="宋体" w:hAnsi="宋体" w:eastAsia="宋体"/>
          <w:highlight w:val="none"/>
        </w:rPr>
      </w:pPr>
      <w:r>
        <w:rPr>
          <w:rFonts w:ascii="宋体" w:hAnsi="宋体" w:eastAsia="宋体"/>
          <w:highlight w:val="none"/>
        </w:rPr>
        <w:t xml:space="preserve">3.2.5 </w:t>
      </w:r>
      <w:r>
        <w:rPr>
          <w:rFonts w:hint="eastAsia" w:ascii="宋体" w:hAnsi="宋体" w:eastAsia="宋体"/>
          <w:highlight w:val="none"/>
        </w:rPr>
        <w:t>投标报价的其他要求见投标人须知前附表。</w:t>
      </w:r>
    </w:p>
    <w:p w14:paraId="796905AF">
      <w:pPr>
        <w:pStyle w:val="4"/>
        <w:spacing w:after="283" w:line="416" w:lineRule="auto"/>
        <w:ind w:left="132" w:firstLine="0" w:firstLineChars="0"/>
        <w:rPr>
          <w:rFonts w:ascii="宋体" w:hAnsi="宋体" w:eastAsia="宋体"/>
          <w:highlight w:val="none"/>
        </w:rPr>
      </w:pPr>
      <w:bookmarkStart w:id="103" w:name="_Toc36466583"/>
      <w:bookmarkStart w:id="104" w:name="_Toc45266414"/>
      <w:bookmarkStart w:id="105" w:name="_Toc133420488"/>
      <w:bookmarkStart w:id="106" w:name="_Toc12586"/>
      <w:bookmarkStart w:id="107" w:name="_Toc51055732"/>
      <w:r>
        <w:rPr>
          <w:rFonts w:ascii="宋体" w:hAnsi="宋体" w:eastAsia="宋体"/>
          <w:highlight w:val="none"/>
        </w:rPr>
        <w:t>3.3投标有效期</w:t>
      </w:r>
      <w:bookmarkEnd w:id="103"/>
      <w:bookmarkEnd w:id="104"/>
      <w:bookmarkEnd w:id="105"/>
      <w:bookmarkEnd w:id="106"/>
      <w:bookmarkEnd w:id="107"/>
    </w:p>
    <w:p w14:paraId="2803DBD4">
      <w:pPr>
        <w:spacing w:line="360" w:lineRule="auto"/>
        <w:ind w:firstLine="420" w:firstLineChars="200"/>
        <w:rPr>
          <w:rFonts w:ascii="宋体" w:hAnsi="宋体" w:eastAsia="宋体"/>
          <w:highlight w:val="none"/>
        </w:rPr>
      </w:pPr>
      <w:r>
        <w:rPr>
          <w:rFonts w:ascii="宋体" w:hAnsi="宋体" w:eastAsia="宋体"/>
          <w:highlight w:val="none"/>
        </w:rPr>
        <w:t>3.3.1见投标人须知前附表。</w:t>
      </w:r>
    </w:p>
    <w:p w14:paraId="0D6932B1">
      <w:pPr>
        <w:spacing w:line="360" w:lineRule="auto"/>
        <w:ind w:firstLine="420" w:firstLineChars="200"/>
        <w:rPr>
          <w:rFonts w:ascii="宋体" w:hAnsi="宋体" w:eastAsia="宋体"/>
          <w:highlight w:val="none"/>
        </w:rPr>
      </w:pPr>
      <w:r>
        <w:rPr>
          <w:rFonts w:ascii="宋体" w:hAnsi="宋体" w:eastAsia="宋体"/>
          <w:highlight w:val="none"/>
        </w:rPr>
        <w:t>3.3.2在投标有效期内，投标人撤销投标文件的，应承担招标文件和法律规定的责任。</w:t>
      </w:r>
    </w:p>
    <w:p w14:paraId="7BFC374F">
      <w:pPr>
        <w:spacing w:line="360" w:lineRule="auto"/>
        <w:ind w:firstLine="420" w:firstLineChars="200"/>
        <w:rPr>
          <w:rFonts w:ascii="宋体" w:hAnsi="宋体" w:eastAsia="宋体"/>
          <w:highlight w:val="none"/>
        </w:rPr>
      </w:pPr>
      <w:r>
        <w:rPr>
          <w:rFonts w:ascii="宋体" w:hAnsi="宋体" w:eastAsia="宋体"/>
          <w:highlight w:val="none"/>
        </w:rPr>
        <w:t>3.3.3出现特殊情况需要延长投标有效期的，招标人以书面形式通知所有投标人延长投标有效期。投标人应予以书面答复，同意延长的但不得要求</w:t>
      </w:r>
      <w:r>
        <w:rPr>
          <w:rFonts w:hint="eastAsia" w:ascii="宋体" w:hAnsi="宋体" w:eastAsia="宋体"/>
          <w:highlight w:val="none"/>
        </w:rPr>
        <w:t>或被允许修改其投标文件；投标人拒绝延长的，其投标失效。</w:t>
      </w:r>
    </w:p>
    <w:p w14:paraId="19674A15">
      <w:pPr>
        <w:pStyle w:val="4"/>
        <w:spacing w:after="283" w:line="416" w:lineRule="auto"/>
        <w:ind w:left="132" w:firstLine="0" w:firstLineChars="0"/>
        <w:rPr>
          <w:rFonts w:ascii="宋体" w:hAnsi="宋体" w:eastAsia="宋体"/>
          <w:highlight w:val="none"/>
        </w:rPr>
      </w:pPr>
      <w:bookmarkStart w:id="108" w:name="_Toc36466584"/>
      <w:bookmarkStart w:id="109" w:name="_Toc45266415"/>
      <w:bookmarkStart w:id="110" w:name="_Toc133420489"/>
      <w:bookmarkStart w:id="111" w:name="_Toc2213"/>
      <w:bookmarkStart w:id="112" w:name="_Toc51055733"/>
      <w:r>
        <w:rPr>
          <w:rFonts w:ascii="宋体" w:hAnsi="宋体" w:eastAsia="宋体"/>
          <w:highlight w:val="none"/>
        </w:rPr>
        <w:t>3.4投标保证金</w:t>
      </w:r>
      <w:bookmarkEnd w:id="108"/>
      <w:bookmarkEnd w:id="109"/>
      <w:bookmarkEnd w:id="110"/>
      <w:bookmarkEnd w:id="111"/>
      <w:bookmarkEnd w:id="112"/>
    </w:p>
    <w:p w14:paraId="7A1C373E">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本项目不需要递交投标保证金</w:t>
      </w:r>
      <w:r>
        <w:rPr>
          <w:rFonts w:ascii="宋体" w:hAnsi="宋体" w:eastAsia="宋体"/>
          <w:highlight w:val="none"/>
          <w:u w:val="single"/>
        </w:rPr>
        <w:t>。</w:t>
      </w:r>
    </w:p>
    <w:p w14:paraId="04D16487">
      <w:pPr>
        <w:pStyle w:val="4"/>
        <w:spacing w:after="283"/>
        <w:ind w:left="132" w:firstLine="137"/>
        <w:rPr>
          <w:rFonts w:ascii="宋体" w:hAnsi="宋体" w:eastAsia="宋体"/>
          <w:highlight w:val="none"/>
        </w:rPr>
      </w:pPr>
      <w:bookmarkStart w:id="113" w:name="_Toc13976"/>
      <w:bookmarkStart w:id="114" w:name="_Toc51055734"/>
      <w:bookmarkStart w:id="115" w:name="_Toc8327"/>
      <w:bookmarkStart w:id="116" w:name="_Toc5861"/>
      <w:bookmarkStart w:id="117" w:name="_Toc4414"/>
      <w:bookmarkStart w:id="118" w:name="_Toc133420490"/>
      <w:bookmarkStart w:id="119" w:name="_Toc24137"/>
      <w:bookmarkStart w:id="120" w:name="_Toc3919"/>
      <w:bookmarkStart w:id="121" w:name="_Toc36466585"/>
      <w:bookmarkStart w:id="122" w:name="_Toc8698"/>
      <w:bookmarkStart w:id="123" w:name="_Toc45266416"/>
      <w:bookmarkStart w:id="124" w:name="_Toc5621"/>
      <w:bookmarkStart w:id="125" w:name="_Toc493082505"/>
      <w:bookmarkStart w:id="126" w:name="_Toc21091"/>
      <w:bookmarkStart w:id="127" w:name="_Toc9487"/>
      <w:bookmarkStart w:id="128" w:name="_Toc14033"/>
      <w:bookmarkStart w:id="129" w:name="_Toc7162"/>
      <w:bookmarkStart w:id="130" w:name="_Toc400"/>
      <w:bookmarkStart w:id="131" w:name="_Toc27021"/>
      <w:bookmarkStart w:id="132" w:name="_Toc10651"/>
      <w:r>
        <w:rPr>
          <w:rFonts w:ascii="宋体" w:hAnsi="宋体" w:eastAsia="宋体"/>
          <w:highlight w:val="none"/>
        </w:rPr>
        <w:t xml:space="preserve">3.5 </w:t>
      </w:r>
      <w:r>
        <w:rPr>
          <w:rFonts w:hint="eastAsia" w:ascii="宋体" w:hAnsi="宋体" w:eastAsia="宋体"/>
          <w:highlight w:val="none"/>
        </w:rPr>
        <w:t>资格审查资料（适用于已进行资格预审的）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ascii="宋体" w:hAnsi="宋体" w:eastAsia="宋体"/>
          <w:highlight w:val="none"/>
        </w:rPr>
        <w:t xml:space="preserve"> </w:t>
      </w:r>
    </w:p>
    <w:p w14:paraId="3797656F">
      <w:pPr>
        <w:spacing w:after="224" w:line="369" w:lineRule="auto"/>
        <w:ind w:left="-15" w:right="197" w:firstLine="410"/>
        <w:rPr>
          <w:rFonts w:ascii="宋体" w:hAnsi="宋体" w:eastAsia="宋体"/>
          <w:highlight w:val="none"/>
        </w:rPr>
      </w:pPr>
      <w:r>
        <w:rPr>
          <w:rFonts w:hint="eastAsia" w:ascii="宋体" w:hAnsi="宋体" w:eastAsia="宋体"/>
          <w:highlight w:val="none"/>
        </w:rPr>
        <w:t>投标人在递交投标文件前，发生可能影响其投标资格的新情况的，应更新或补充其在申请资格预审时提供的资料，以证实其各项资格条件仍能继续满足资格预审文件的要求，且没有实质性降低。</w:t>
      </w:r>
      <w:r>
        <w:rPr>
          <w:rFonts w:ascii="宋体" w:hAnsi="宋体" w:eastAsia="宋体"/>
          <w:highlight w:val="none"/>
        </w:rPr>
        <w:t xml:space="preserve"> </w:t>
      </w:r>
    </w:p>
    <w:p w14:paraId="6FD66122">
      <w:pPr>
        <w:pStyle w:val="4"/>
        <w:spacing w:after="283" w:line="416" w:lineRule="auto"/>
        <w:ind w:left="132" w:firstLine="0" w:firstLineChars="0"/>
        <w:rPr>
          <w:rFonts w:ascii="宋体" w:hAnsi="宋体" w:eastAsia="宋体"/>
          <w:highlight w:val="none"/>
        </w:rPr>
      </w:pPr>
      <w:bookmarkStart w:id="133" w:name="_Toc51055735"/>
      <w:bookmarkStart w:id="134" w:name="_Toc36466586"/>
      <w:bookmarkStart w:id="135" w:name="_Toc133420491"/>
      <w:bookmarkStart w:id="136" w:name="_Toc16241"/>
      <w:bookmarkStart w:id="137" w:name="_Toc45266417"/>
      <w:r>
        <w:rPr>
          <w:rFonts w:ascii="宋体" w:hAnsi="宋体" w:eastAsia="宋体"/>
          <w:highlight w:val="none"/>
        </w:rPr>
        <w:t>3.5资格审查资料（适用于未进行资格预审的）</w:t>
      </w:r>
      <w:bookmarkEnd w:id="133"/>
      <w:bookmarkEnd w:id="134"/>
      <w:bookmarkEnd w:id="135"/>
      <w:bookmarkEnd w:id="136"/>
      <w:bookmarkEnd w:id="137"/>
    </w:p>
    <w:p w14:paraId="23503229">
      <w:pPr>
        <w:spacing w:line="360" w:lineRule="auto"/>
        <w:ind w:firstLine="420" w:firstLineChars="200"/>
        <w:rPr>
          <w:rFonts w:ascii="宋体" w:hAnsi="宋体" w:eastAsia="宋体"/>
          <w:highlight w:val="none"/>
        </w:rPr>
      </w:pPr>
      <w:r>
        <w:rPr>
          <w:rFonts w:hint="eastAsia" w:ascii="宋体" w:hAnsi="宋体" w:eastAsia="宋体"/>
          <w:highlight w:val="none"/>
        </w:rPr>
        <w:t>除投标人须知前附表另有规定外，投标人应按下列规定提供资格审查资料，以证明其满足本章第</w:t>
      </w:r>
      <w:r>
        <w:rPr>
          <w:rFonts w:ascii="宋体" w:hAnsi="宋体" w:eastAsia="宋体"/>
          <w:highlight w:val="none"/>
        </w:rPr>
        <w:t>1.4款规定的资质、信誉等要求。</w:t>
      </w:r>
    </w:p>
    <w:p w14:paraId="3E8EF327">
      <w:pPr>
        <w:widowControl/>
        <w:adjustRightInd w:val="0"/>
        <w:snapToGrid w:val="0"/>
        <w:spacing w:line="360" w:lineRule="auto"/>
        <w:ind w:firstLine="422" w:firstLineChars="200"/>
        <w:jc w:val="left"/>
        <w:rPr>
          <w:rFonts w:ascii="宋体" w:hAnsi="宋体" w:eastAsia="宋体"/>
          <w:highlight w:val="none"/>
        </w:rPr>
      </w:pPr>
      <w:r>
        <w:rPr>
          <w:rFonts w:hint="eastAsia" w:ascii="宋体" w:hAnsi="宋体" w:eastAsia="宋体"/>
          <w:b/>
          <w:highlight w:val="none"/>
          <w:u w:val="single"/>
        </w:rPr>
        <w:t>详见招标公告。</w:t>
      </w:r>
    </w:p>
    <w:p w14:paraId="1E97C4CB">
      <w:pPr>
        <w:spacing w:line="360" w:lineRule="auto"/>
        <w:ind w:firstLine="420" w:firstLineChars="200"/>
        <w:rPr>
          <w:rFonts w:ascii="宋体" w:hAnsi="宋体" w:eastAsia="宋体"/>
          <w:highlight w:val="none"/>
        </w:rPr>
      </w:pPr>
    </w:p>
    <w:p w14:paraId="7C378E00">
      <w:pPr>
        <w:pStyle w:val="4"/>
        <w:spacing w:after="283" w:line="416" w:lineRule="auto"/>
        <w:ind w:left="132" w:firstLine="0" w:firstLineChars="0"/>
        <w:rPr>
          <w:rFonts w:ascii="宋体" w:hAnsi="宋体" w:eastAsia="宋体"/>
          <w:highlight w:val="none"/>
        </w:rPr>
      </w:pPr>
      <w:bookmarkStart w:id="138" w:name="_Toc36466587"/>
      <w:bookmarkStart w:id="139" w:name="_Toc22486"/>
      <w:bookmarkStart w:id="140" w:name="_Toc51055736"/>
      <w:bookmarkStart w:id="141" w:name="_Toc133420492"/>
      <w:bookmarkStart w:id="142" w:name="_Toc45266418"/>
      <w:r>
        <w:rPr>
          <w:rFonts w:ascii="宋体" w:hAnsi="宋体" w:eastAsia="宋体"/>
          <w:highlight w:val="none"/>
        </w:rPr>
        <w:t>3.6备选投标方案</w:t>
      </w:r>
      <w:bookmarkEnd w:id="138"/>
      <w:bookmarkEnd w:id="139"/>
      <w:bookmarkEnd w:id="140"/>
      <w:bookmarkEnd w:id="141"/>
      <w:bookmarkEnd w:id="142"/>
    </w:p>
    <w:p w14:paraId="792F1965">
      <w:pPr>
        <w:spacing w:line="360" w:lineRule="auto"/>
        <w:ind w:firstLine="420" w:firstLineChars="200"/>
        <w:rPr>
          <w:rFonts w:ascii="宋体" w:hAnsi="宋体" w:eastAsia="宋体"/>
          <w:highlight w:val="none"/>
        </w:rPr>
      </w:pPr>
      <w:r>
        <w:rPr>
          <w:rFonts w:ascii="宋体" w:hAnsi="宋体" w:eastAsia="宋体"/>
          <w:highlight w:val="none"/>
        </w:rPr>
        <w:t xml:space="preserve">3.6.1除投标人须知前附表规定允许外，投标人不得递交备选投标方案，否则其投标将被否 </w:t>
      </w:r>
      <w:r>
        <w:rPr>
          <w:rFonts w:hint="eastAsia" w:ascii="宋体" w:hAnsi="宋体" w:eastAsia="宋体"/>
          <w:highlight w:val="none"/>
        </w:rPr>
        <w:t>决。</w:t>
      </w:r>
    </w:p>
    <w:p w14:paraId="0CC0BFDF">
      <w:pPr>
        <w:spacing w:line="360" w:lineRule="auto"/>
        <w:ind w:firstLine="420" w:firstLineChars="200"/>
        <w:rPr>
          <w:rFonts w:ascii="宋体" w:hAnsi="宋体" w:eastAsia="宋体"/>
          <w:highlight w:val="none"/>
        </w:rPr>
      </w:pPr>
      <w:r>
        <w:rPr>
          <w:rFonts w:ascii="宋体" w:hAnsi="宋体" w:eastAsia="宋体"/>
          <w:highlight w:val="none"/>
        </w:rPr>
        <w:t xml:space="preserve">3.6.2允许投标人递交备选投标方案的，只有中标人所递交的备选投标方案方可予以考虑。 </w:t>
      </w:r>
      <w:r>
        <w:rPr>
          <w:rFonts w:hint="eastAsia" w:ascii="宋体" w:hAnsi="宋体" w:eastAsia="宋体"/>
          <w:highlight w:val="none"/>
        </w:rPr>
        <w:t>评标委员会认为中标人的备选投标方案优于其按照招标文件要求编制的投标方案的，招标人可以接受该备选投标方案。</w:t>
      </w:r>
    </w:p>
    <w:p w14:paraId="4F27CAF5">
      <w:pPr>
        <w:spacing w:line="360" w:lineRule="auto"/>
        <w:ind w:firstLine="420" w:firstLineChars="200"/>
        <w:rPr>
          <w:rFonts w:ascii="宋体" w:hAnsi="宋体" w:eastAsia="宋体"/>
          <w:highlight w:val="none"/>
        </w:rPr>
      </w:pPr>
      <w:r>
        <w:rPr>
          <w:rFonts w:ascii="宋体" w:hAnsi="宋体" w:eastAsia="宋体"/>
          <w:highlight w:val="none"/>
        </w:rPr>
        <w:t>3.6.3投标人提供两个或两个以上投标报价，或者在投标文件中提供一个报价，但同时提供两个或两个以上技术服务方案的，视为提供备选方案。</w:t>
      </w:r>
    </w:p>
    <w:p w14:paraId="6801E765">
      <w:pPr>
        <w:pStyle w:val="4"/>
        <w:spacing w:after="283" w:line="416" w:lineRule="auto"/>
        <w:ind w:left="132" w:firstLine="0" w:firstLineChars="0"/>
        <w:rPr>
          <w:rFonts w:ascii="宋体" w:hAnsi="宋体" w:eastAsia="宋体"/>
          <w:highlight w:val="none"/>
        </w:rPr>
      </w:pPr>
      <w:bookmarkStart w:id="143" w:name="_Toc45266419"/>
      <w:bookmarkStart w:id="144" w:name="_Toc29883"/>
      <w:bookmarkStart w:id="145" w:name="_Toc133420493"/>
      <w:bookmarkStart w:id="146" w:name="_Toc51055737"/>
      <w:bookmarkStart w:id="147" w:name="_Toc36466588"/>
      <w:r>
        <w:rPr>
          <w:rFonts w:ascii="宋体" w:hAnsi="宋体" w:eastAsia="宋体"/>
          <w:highlight w:val="none"/>
        </w:rPr>
        <w:t>3.7投标文件的编制</w:t>
      </w:r>
      <w:bookmarkEnd w:id="143"/>
      <w:bookmarkEnd w:id="144"/>
      <w:bookmarkEnd w:id="145"/>
      <w:bookmarkEnd w:id="146"/>
      <w:bookmarkEnd w:id="147"/>
    </w:p>
    <w:p w14:paraId="2D0763A7">
      <w:pPr>
        <w:spacing w:line="360" w:lineRule="auto"/>
        <w:ind w:firstLine="420" w:firstLineChars="200"/>
        <w:rPr>
          <w:rFonts w:ascii="宋体" w:hAnsi="宋体" w:eastAsia="宋体"/>
          <w:highlight w:val="none"/>
        </w:rPr>
      </w:pPr>
      <w:r>
        <w:rPr>
          <w:rFonts w:ascii="宋体" w:hAnsi="宋体" w:eastAsia="宋体"/>
          <w:highlight w:val="none"/>
        </w:rPr>
        <w:t xml:space="preserve">3.7.1 </w:t>
      </w:r>
      <w:r>
        <w:rPr>
          <w:rFonts w:hint="eastAsia" w:ascii="宋体" w:hAnsi="宋体" w:eastAsia="宋体"/>
          <w:highlight w:val="none"/>
        </w:rPr>
        <w:t>投标文件应按第六章“投标文件格式”进行编写，如有必要，可以增加附页，作为投标</w:t>
      </w:r>
      <w:r>
        <w:rPr>
          <w:rFonts w:ascii="宋体" w:hAnsi="宋体" w:eastAsia="宋体"/>
          <w:highlight w:val="none"/>
        </w:rPr>
        <w:t xml:space="preserve"> </w:t>
      </w:r>
      <w:r>
        <w:rPr>
          <w:rFonts w:hint="eastAsia" w:ascii="宋体" w:hAnsi="宋体" w:eastAsia="宋体"/>
          <w:highlight w:val="none"/>
        </w:rPr>
        <w:t>文件的组成部分。其中，投标函附录在满足招标文件实质性要求的基础上，可以提出比招标文</w:t>
      </w:r>
      <w:r>
        <w:rPr>
          <w:rFonts w:ascii="宋体" w:hAnsi="宋体" w:eastAsia="宋体"/>
          <w:highlight w:val="none"/>
        </w:rPr>
        <w:t xml:space="preserve"> </w:t>
      </w:r>
      <w:r>
        <w:rPr>
          <w:rFonts w:hint="eastAsia" w:ascii="宋体" w:hAnsi="宋体" w:eastAsia="宋体"/>
          <w:highlight w:val="none"/>
        </w:rPr>
        <w:t>件要求更有利于招标人的承诺。</w:t>
      </w:r>
    </w:p>
    <w:p w14:paraId="32943180">
      <w:pPr>
        <w:spacing w:line="360" w:lineRule="auto"/>
        <w:ind w:firstLine="420" w:firstLineChars="200"/>
        <w:rPr>
          <w:rFonts w:ascii="宋体" w:hAnsi="宋体" w:eastAsia="宋体"/>
          <w:highlight w:val="none"/>
        </w:rPr>
      </w:pPr>
      <w:r>
        <w:rPr>
          <w:rFonts w:ascii="宋体" w:hAnsi="宋体" w:eastAsia="宋体"/>
          <w:highlight w:val="none"/>
        </w:rPr>
        <w:t xml:space="preserve">3.7.2 </w:t>
      </w:r>
      <w:r>
        <w:rPr>
          <w:rFonts w:hint="eastAsia" w:ascii="宋体" w:hAnsi="宋体" w:eastAsia="宋体"/>
          <w:highlight w:val="none"/>
        </w:rPr>
        <w:t>投标文件应当对招标文件有关服务期限、投标有效期、委托人要求、招标范围等实质性内容作出响应。</w:t>
      </w:r>
    </w:p>
    <w:p w14:paraId="00FE1B58">
      <w:pPr>
        <w:spacing w:line="360" w:lineRule="auto"/>
        <w:ind w:firstLine="420" w:firstLineChars="200"/>
        <w:rPr>
          <w:rFonts w:ascii="宋体" w:hAnsi="宋体" w:eastAsia="宋体"/>
          <w:highlight w:val="none"/>
        </w:rPr>
      </w:pPr>
      <w:r>
        <w:rPr>
          <w:rFonts w:ascii="宋体" w:hAnsi="宋体" w:eastAsia="宋体"/>
          <w:highlight w:val="none"/>
        </w:rPr>
        <w:t xml:space="preserve">3.7.3（A）（1）投标文件应用不褪色的材料书写或打印，投标函、投标函附录及对投标文 </w:t>
      </w:r>
      <w:r>
        <w:rPr>
          <w:rFonts w:hint="eastAsia" w:ascii="宋体" w:hAnsi="宋体" w:eastAsia="宋体"/>
          <w:highlight w:val="none"/>
        </w:rPr>
        <w:t>件的澄清、说明和补正应由投标人的法定代表人或其授权的代理人签字或盖公章。由投标人</w:t>
      </w:r>
      <w:r>
        <w:rPr>
          <w:rFonts w:ascii="宋体" w:hAnsi="宋体" w:eastAsia="宋体"/>
          <w:highlight w:val="none"/>
        </w:rPr>
        <w:t xml:space="preserve"> </w:t>
      </w:r>
      <w:r>
        <w:rPr>
          <w:rFonts w:hint="eastAsia" w:ascii="宋体" w:hAnsi="宋体" w:eastAsia="宋体"/>
          <w:highlight w:val="none"/>
        </w:rPr>
        <w:t>的法定代表人签字的，应附法定代表人身份证明，由代理人签字的，应附授权委托书，身份证</w:t>
      </w:r>
      <w:r>
        <w:rPr>
          <w:rFonts w:ascii="宋体" w:hAnsi="宋体" w:eastAsia="宋体"/>
          <w:highlight w:val="none"/>
        </w:rPr>
        <w:t xml:space="preserve"> </w:t>
      </w:r>
      <w:r>
        <w:rPr>
          <w:rFonts w:hint="eastAsia" w:ascii="宋体" w:hAnsi="宋体" w:eastAsia="宋体"/>
          <w:highlight w:val="none"/>
        </w:rPr>
        <w:t>明或授权委托书应符合第六章“投标文件格式”的要求。投标文件应尽量避免涂改、行间插字或</w:t>
      </w:r>
      <w:r>
        <w:rPr>
          <w:rFonts w:ascii="宋体" w:hAnsi="宋体" w:eastAsia="宋体"/>
          <w:highlight w:val="none"/>
        </w:rPr>
        <w:t xml:space="preserve"> </w:t>
      </w:r>
      <w:r>
        <w:rPr>
          <w:rFonts w:hint="eastAsia" w:ascii="宋体" w:hAnsi="宋体" w:eastAsia="宋体"/>
          <w:highlight w:val="none"/>
        </w:rPr>
        <w:t>删除。如果出现上述情况，改动之处应由投标人的法定代表人或其授权的代理人签字或盖单位公章。</w:t>
      </w:r>
    </w:p>
    <w:p w14:paraId="1DA9626F">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 xml:space="preserve">2）投标文件正本一份，副本份数见投标人须知前附表。正本和副本的封面右上角上应清 </w:t>
      </w:r>
      <w:r>
        <w:rPr>
          <w:rFonts w:hint="eastAsia" w:ascii="宋体" w:hAnsi="宋体" w:eastAsia="宋体"/>
          <w:highlight w:val="none"/>
        </w:rPr>
        <w:t>楚地标记“正本”或“副本”的字样。投标人应根据投标人须知前附表要求提供电子版文件。当副</w:t>
      </w:r>
      <w:r>
        <w:rPr>
          <w:rFonts w:ascii="宋体" w:hAnsi="宋体" w:eastAsia="宋体"/>
          <w:highlight w:val="none"/>
        </w:rPr>
        <w:t xml:space="preserve"> </w:t>
      </w:r>
      <w:r>
        <w:rPr>
          <w:rFonts w:hint="eastAsia" w:ascii="宋体" w:hAnsi="宋体" w:eastAsia="宋体"/>
          <w:highlight w:val="none"/>
        </w:rPr>
        <w:t>本和正本不一致或电子版文件和纸质正本文件不一致时，以纸质正本文件为准。</w:t>
      </w:r>
    </w:p>
    <w:p w14:paraId="5C1F8386">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3）投标文件的正本与副本应分别装订，并编制目录，投标文件需分册装订的，具体分册</w:t>
      </w:r>
      <w:r>
        <w:rPr>
          <w:rFonts w:hint="eastAsia" w:ascii="宋体" w:hAnsi="宋体" w:eastAsia="宋体"/>
          <w:highlight w:val="none"/>
        </w:rPr>
        <w:t>装订要求见投标人须知前附表规定。</w:t>
      </w:r>
    </w:p>
    <w:p w14:paraId="517B6AFE">
      <w:pPr>
        <w:pStyle w:val="3"/>
        <w:rPr>
          <w:color w:val="auto"/>
          <w:highlight w:val="none"/>
        </w:rPr>
      </w:pPr>
      <w:bookmarkStart w:id="148" w:name="_Toc5951"/>
      <w:r>
        <w:rPr>
          <w:color w:val="auto"/>
          <w:highlight w:val="none"/>
        </w:rPr>
        <w:t>4.投标</w:t>
      </w:r>
      <w:bookmarkEnd w:id="148"/>
    </w:p>
    <w:p w14:paraId="2F055CEC">
      <w:pPr>
        <w:pStyle w:val="4"/>
        <w:spacing w:after="283" w:line="416" w:lineRule="auto"/>
        <w:ind w:left="132" w:firstLine="0" w:firstLineChars="0"/>
        <w:rPr>
          <w:rFonts w:ascii="宋体" w:hAnsi="宋体" w:eastAsia="宋体"/>
          <w:highlight w:val="none"/>
        </w:rPr>
      </w:pPr>
      <w:bookmarkStart w:id="149" w:name="_Toc51055739"/>
      <w:bookmarkStart w:id="150" w:name="_Toc45266421"/>
      <w:bookmarkStart w:id="151" w:name="_Toc458"/>
      <w:bookmarkStart w:id="152" w:name="_Toc36466590"/>
      <w:bookmarkStart w:id="153" w:name="_Toc133420495"/>
      <w:r>
        <w:rPr>
          <w:rFonts w:ascii="宋体" w:hAnsi="宋体" w:eastAsia="宋体"/>
          <w:highlight w:val="none"/>
        </w:rPr>
        <w:t>4.1投标文件的密封和标记</w:t>
      </w:r>
      <w:bookmarkEnd w:id="149"/>
      <w:bookmarkEnd w:id="150"/>
      <w:bookmarkEnd w:id="151"/>
      <w:bookmarkEnd w:id="152"/>
      <w:bookmarkEnd w:id="153"/>
    </w:p>
    <w:p w14:paraId="4771B146">
      <w:pPr>
        <w:spacing w:line="360" w:lineRule="auto"/>
        <w:ind w:firstLine="420" w:firstLineChars="200"/>
        <w:rPr>
          <w:rFonts w:ascii="宋体" w:hAnsi="宋体" w:eastAsia="宋体"/>
          <w:highlight w:val="none"/>
        </w:rPr>
      </w:pPr>
      <w:r>
        <w:rPr>
          <w:rFonts w:ascii="宋体" w:hAnsi="宋体" w:eastAsia="宋体"/>
          <w:highlight w:val="none"/>
        </w:rPr>
        <w:t xml:space="preserve">4.1.1 </w:t>
      </w:r>
      <w:r>
        <w:rPr>
          <w:rFonts w:hint="eastAsia" w:ascii="宋体" w:hAnsi="宋体" w:eastAsia="宋体"/>
          <w:highlight w:val="none"/>
        </w:rPr>
        <w:t>（</w:t>
      </w:r>
      <w:r>
        <w:rPr>
          <w:rFonts w:ascii="宋体" w:hAnsi="宋体" w:eastAsia="宋体"/>
          <w:highlight w:val="none"/>
        </w:rPr>
        <w:t xml:space="preserve">A）投标文件应密封包装，并在封套的封口处加盖投标人单位章或由投标人的法定 </w:t>
      </w:r>
      <w:r>
        <w:rPr>
          <w:rFonts w:hint="eastAsia" w:ascii="宋体" w:hAnsi="宋体" w:eastAsia="宋体"/>
          <w:highlight w:val="none"/>
        </w:rPr>
        <w:t>代表人或其授权的代理人签字。</w:t>
      </w:r>
    </w:p>
    <w:p w14:paraId="47AC9B89">
      <w:pPr>
        <w:spacing w:line="360" w:lineRule="auto"/>
        <w:ind w:firstLine="420" w:firstLineChars="200"/>
        <w:rPr>
          <w:rFonts w:ascii="宋体" w:hAnsi="宋体" w:eastAsia="宋体"/>
          <w:highlight w:val="none"/>
        </w:rPr>
      </w:pPr>
      <w:r>
        <w:rPr>
          <w:rFonts w:ascii="宋体" w:hAnsi="宋体" w:eastAsia="宋体"/>
          <w:highlight w:val="none"/>
        </w:rPr>
        <w:t>4.1.2投标文件封套上应写明的内容见投标人须知前附表。</w:t>
      </w:r>
    </w:p>
    <w:p w14:paraId="12077615">
      <w:pPr>
        <w:spacing w:line="360" w:lineRule="auto"/>
        <w:ind w:firstLine="420" w:firstLineChars="200"/>
        <w:rPr>
          <w:rFonts w:ascii="宋体" w:hAnsi="宋体" w:eastAsia="宋体"/>
          <w:highlight w:val="none"/>
        </w:rPr>
      </w:pPr>
      <w:r>
        <w:rPr>
          <w:rFonts w:ascii="宋体" w:hAnsi="宋体" w:eastAsia="宋体"/>
          <w:highlight w:val="none"/>
        </w:rPr>
        <w:t>4.1.3未按本章第4.1.1项要求密封的投标文件，招标人将予以拒收。</w:t>
      </w:r>
    </w:p>
    <w:p w14:paraId="3A01BA37">
      <w:pPr>
        <w:pStyle w:val="4"/>
        <w:spacing w:after="283" w:line="416" w:lineRule="auto"/>
        <w:ind w:left="132" w:firstLine="0" w:firstLineChars="0"/>
        <w:rPr>
          <w:rFonts w:ascii="宋体" w:hAnsi="宋体" w:eastAsia="宋体"/>
          <w:highlight w:val="none"/>
        </w:rPr>
      </w:pPr>
      <w:bookmarkStart w:id="154" w:name="_Toc36466591"/>
      <w:bookmarkStart w:id="155" w:name="_Toc21209"/>
      <w:bookmarkStart w:id="156" w:name="_Toc133420496"/>
      <w:bookmarkStart w:id="157" w:name="_Toc45266422"/>
      <w:bookmarkStart w:id="158" w:name="_Toc51055740"/>
      <w:r>
        <w:rPr>
          <w:rFonts w:ascii="宋体" w:hAnsi="宋体" w:eastAsia="宋体"/>
          <w:highlight w:val="none"/>
        </w:rPr>
        <w:t>4.2投标文件的递交</w:t>
      </w:r>
      <w:bookmarkEnd w:id="154"/>
      <w:bookmarkEnd w:id="155"/>
      <w:bookmarkEnd w:id="156"/>
      <w:bookmarkEnd w:id="157"/>
      <w:bookmarkEnd w:id="158"/>
    </w:p>
    <w:p w14:paraId="53E1C3EC">
      <w:pPr>
        <w:spacing w:line="360" w:lineRule="auto"/>
        <w:ind w:firstLine="420" w:firstLineChars="200"/>
        <w:rPr>
          <w:rFonts w:ascii="宋体" w:hAnsi="宋体" w:eastAsia="宋体"/>
          <w:highlight w:val="none"/>
        </w:rPr>
      </w:pPr>
      <w:r>
        <w:rPr>
          <w:rFonts w:ascii="宋体" w:hAnsi="宋体" w:eastAsia="宋体"/>
          <w:highlight w:val="none"/>
        </w:rPr>
        <w:t>4.2.1投标人应在投标人须知前附表规定的投标截止时间前递交投标文件。</w:t>
      </w:r>
    </w:p>
    <w:p w14:paraId="19215576">
      <w:pPr>
        <w:spacing w:line="360" w:lineRule="auto"/>
        <w:ind w:firstLine="420" w:firstLineChars="200"/>
        <w:rPr>
          <w:rFonts w:ascii="宋体" w:hAnsi="宋体" w:eastAsia="宋体"/>
          <w:highlight w:val="none"/>
        </w:rPr>
      </w:pPr>
      <w:r>
        <w:rPr>
          <w:rFonts w:ascii="宋体" w:hAnsi="宋体" w:eastAsia="宋体"/>
          <w:highlight w:val="none"/>
        </w:rPr>
        <w:t>4.2.2（A）投标人递交投标文件的地点：见投标人须知前附表。</w:t>
      </w:r>
    </w:p>
    <w:p w14:paraId="7426F9C6">
      <w:pPr>
        <w:spacing w:line="360" w:lineRule="auto"/>
        <w:ind w:firstLine="420" w:firstLineChars="200"/>
        <w:rPr>
          <w:rFonts w:ascii="宋体" w:hAnsi="宋体" w:eastAsia="宋体"/>
          <w:highlight w:val="none"/>
        </w:rPr>
      </w:pPr>
      <w:r>
        <w:rPr>
          <w:rFonts w:ascii="宋体" w:hAnsi="宋体" w:eastAsia="宋体"/>
          <w:highlight w:val="none"/>
        </w:rPr>
        <w:t>4.2.3除投标人须知前附表另有规定外，投标人所递交的投标文件不予退还。</w:t>
      </w:r>
    </w:p>
    <w:p w14:paraId="0FDE42B8">
      <w:pPr>
        <w:spacing w:line="360" w:lineRule="auto"/>
        <w:ind w:firstLine="420" w:firstLineChars="200"/>
        <w:rPr>
          <w:rFonts w:ascii="宋体" w:hAnsi="宋体" w:eastAsia="宋体"/>
          <w:highlight w:val="none"/>
        </w:rPr>
      </w:pPr>
      <w:r>
        <w:rPr>
          <w:rFonts w:ascii="宋体" w:hAnsi="宋体" w:eastAsia="宋体"/>
          <w:highlight w:val="none"/>
        </w:rPr>
        <w:t>4.2.4（A）招标人收到投标文件后，向投标人出具签收凭证。</w:t>
      </w:r>
    </w:p>
    <w:p w14:paraId="106C362B">
      <w:pPr>
        <w:spacing w:line="360" w:lineRule="auto"/>
        <w:ind w:firstLine="420" w:firstLineChars="200"/>
        <w:rPr>
          <w:rFonts w:ascii="宋体" w:hAnsi="宋体" w:eastAsia="宋体"/>
          <w:highlight w:val="none"/>
        </w:rPr>
      </w:pPr>
      <w:r>
        <w:rPr>
          <w:rFonts w:ascii="宋体" w:hAnsi="宋体" w:eastAsia="宋体"/>
          <w:highlight w:val="none"/>
        </w:rPr>
        <w:t>4.2.5（A）逾期送达的投标文件，招标人将予以拒收。</w:t>
      </w:r>
    </w:p>
    <w:p w14:paraId="136B74B1">
      <w:pPr>
        <w:pStyle w:val="4"/>
        <w:spacing w:after="283" w:line="416" w:lineRule="auto"/>
        <w:ind w:left="132" w:firstLine="0" w:firstLineChars="0"/>
        <w:rPr>
          <w:rFonts w:ascii="宋体" w:hAnsi="宋体" w:eastAsia="宋体"/>
          <w:highlight w:val="none"/>
        </w:rPr>
      </w:pPr>
      <w:bookmarkStart w:id="159" w:name="_Toc22730"/>
      <w:bookmarkStart w:id="160" w:name="_Toc51055741"/>
      <w:bookmarkStart w:id="161" w:name="_Toc133420497"/>
      <w:bookmarkStart w:id="162" w:name="_Toc36466592"/>
      <w:bookmarkStart w:id="163" w:name="_Toc45266423"/>
      <w:r>
        <w:rPr>
          <w:rFonts w:ascii="宋体" w:hAnsi="宋体" w:eastAsia="宋体"/>
          <w:highlight w:val="none"/>
        </w:rPr>
        <w:t>4.3投标文件的修改与撤回</w:t>
      </w:r>
      <w:bookmarkEnd w:id="159"/>
      <w:bookmarkEnd w:id="160"/>
      <w:bookmarkEnd w:id="161"/>
      <w:bookmarkEnd w:id="162"/>
      <w:bookmarkEnd w:id="163"/>
    </w:p>
    <w:p w14:paraId="0B28ACDA">
      <w:pPr>
        <w:spacing w:line="360" w:lineRule="auto"/>
        <w:ind w:firstLine="420" w:firstLineChars="200"/>
        <w:rPr>
          <w:rFonts w:ascii="宋体" w:hAnsi="宋体" w:eastAsia="宋体"/>
          <w:highlight w:val="none"/>
        </w:rPr>
      </w:pPr>
      <w:r>
        <w:rPr>
          <w:rFonts w:ascii="宋体" w:hAnsi="宋体" w:eastAsia="宋体"/>
          <w:highlight w:val="none"/>
        </w:rPr>
        <w:t xml:space="preserve">4.3.1在本章第 4.2.1 </w:t>
      </w:r>
      <w:r>
        <w:rPr>
          <w:rFonts w:hint="eastAsia" w:ascii="宋体" w:hAnsi="宋体" w:eastAsia="宋体"/>
          <w:highlight w:val="none"/>
        </w:rPr>
        <w:t>项规定的投标截止时间前，投标人可以修改或撤回已递交的投标文件，但应以书面形式通知招标人。</w:t>
      </w:r>
    </w:p>
    <w:p w14:paraId="18A01A2C">
      <w:pPr>
        <w:spacing w:line="360" w:lineRule="auto"/>
        <w:ind w:firstLine="420" w:firstLineChars="200"/>
        <w:rPr>
          <w:rFonts w:ascii="宋体" w:hAnsi="宋体" w:eastAsia="宋体"/>
          <w:highlight w:val="none"/>
        </w:rPr>
      </w:pPr>
      <w:r>
        <w:rPr>
          <w:rFonts w:ascii="宋体" w:hAnsi="宋体" w:eastAsia="宋体"/>
          <w:highlight w:val="none"/>
        </w:rPr>
        <w:t>4.3.2（A）投标人修改或撤回已递交投标文件的书面通知应按照本章第 3.7.3（A）项的要 求签字或盖章。招标人收到书面通知后，向投标人出具签收凭证。</w:t>
      </w:r>
    </w:p>
    <w:p w14:paraId="286C2284">
      <w:pPr>
        <w:spacing w:line="360" w:lineRule="auto"/>
        <w:ind w:firstLine="420" w:firstLineChars="200"/>
        <w:rPr>
          <w:rFonts w:ascii="宋体" w:hAnsi="宋体" w:eastAsia="宋体"/>
          <w:highlight w:val="none"/>
        </w:rPr>
      </w:pPr>
      <w:r>
        <w:rPr>
          <w:rFonts w:ascii="宋体" w:hAnsi="宋体" w:eastAsia="宋体"/>
          <w:highlight w:val="none"/>
        </w:rPr>
        <w:t>4.3.</w:t>
      </w:r>
      <w:r>
        <w:rPr>
          <w:rFonts w:hint="eastAsia" w:ascii="宋体" w:hAnsi="宋体" w:eastAsia="宋体"/>
          <w:highlight w:val="none"/>
        </w:rPr>
        <w:t>3</w:t>
      </w:r>
      <w:r>
        <w:rPr>
          <w:rFonts w:ascii="宋体" w:hAnsi="宋体" w:eastAsia="宋体"/>
          <w:highlight w:val="none"/>
        </w:rPr>
        <w:t>修改的内容为投标文件的组成部分。修改的投标文件应按照本章第3条、第4条的规定进行编制、密封、标记和递交，并标明“修改”字样。</w:t>
      </w:r>
    </w:p>
    <w:p w14:paraId="47152B7E">
      <w:pPr>
        <w:pStyle w:val="3"/>
        <w:rPr>
          <w:color w:val="auto"/>
          <w:highlight w:val="none"/>
        </w:rPr>
      </w:pPr>
      <w:bookmarkStart w:id="164" w:name="_Toc6671"/>
      <w:r>
        <w:rPr>
          <w:color w:val="auto"/>
          <w:highlight w:val="none"/>
        </w:rPr>
        <w:t xml:space="preserve">5. </w:t>
      </w:r>
      <w:r>
        <w:rPr>
          <w:rFonts w:hint="eastAsia"/>
          <w:color w:val="auto"/>
          <w:highlight w:val="none"/>
        </w:rPr>
        <w:t>开标</w:t>
      </w:r>
      <w:bookmarkEnd w:id="164"/>
    </w:p>
    <w:p w14:paraId="25A11310">
      <w:pPr>
        <w:pStyle w:val="4"/>
        <w:spacing w:after="283" w:line="416" w:lineRule="auto"/>
        <w:ind w:left="132" w:firstLine="0" w:firstLineChars="0"/>
        <w:rPr>
          <w:rFonts w:ascii="宋体" w:hAnsi="宋体" w:eastAsia="宋体"/>
          <w:highlight w:val="none"/>
        </w:rPr>
      </w:pPr>
      <w:bookmarkStart w:id="165" w:name="_Toc45266425"/>
      <w:bookmarkStart w:id="166" w:name="_Toc51055743"/>
      <w:bookmarkStart w:id="167" w:name="_Toc133420499"/>
      <w:bookmarkStart w:id="168" w:name="_Toc24994"/>
      <w:bookmarkStart w:id="169" w:name="_Toc36466594"/>
      <w:r>
        <w:rPr>
          <w:rFonts w:ascii="宋体" w:hAnsi="宋体" w:eastAsia="宋体"/>
          <w:highlight w:val="none"/>
        </w:rPr>
        <w:t>5.1开标时间和地点（A）</w:t>
      </w:r>
      <w:bookmarkEnd w:id="165"/>
      <w:bookmarkEnd w:id="166"/>
      <w:bookmarkEnd w:id="167"/>
      <w:bookmarkEnd w:id="168"/>
    </w:p>
    <w:p w14:paraId="3D4BFA02">
      <w:pPr>
        <w:spacing w:line="360" w:lineRule="auto"/>
        <w:ind w:firstLine="420" w:firstLineChars="200"/>
        <w:rPr>
          <w:rFonts w:ascii="宋体" w:hAnsi="宋体" w:eastAsia="宋体"/>
          <w:highlight w:val="none"/>
        </w:rPr>
      </w:pPr>
      <w:r>
        <w:rPr>
          <w:rFonts w:hint="eastAsia" w:ascii="宋体" w:hAnsi="宋体" w:eastAsia="宋体"/>
          <w:highlight w:val="none"/>
        </w:rPr>
        <w:t>招标人在本章第</w:t>
      </w:r>
      <w:r>
        <w:rPr>
          <w:rFonts w:ascii="宋体" w:hAnsi="宋体" w:eastAsia="宋体"/>
          <w:highlight w:val="none"/>
        </w:rPr>
        <w:t xml:space="preserve"> 4.2.1项规定的投标截止时间（开标时间）和投标人须知前附表规定的地点公开开标，并邀请所有投标人的法定代表人或其委托代理人准时参加。</w:t>
      </w:r>
    </w:p>
    <w:p w14:paraId="27F17652">
      <w:pPr>
        <w:pStyle w:val="4"/>
        <w:spacing w:after="283" w:line="416" w:lineRule="auto"/>
        <w:ind w:left="132" w:firstLine="0" w:firstLineChars="0"/>
        <w:rPr>
          <w:rFonts w:ascii="宋体" w:hAnsi="宋体" w:eastAsia="宋体"/>
          <w:highlight w:val="none"/>
        </w:rPr>
      </w:pPr>
      <w:bookmarkStart w:id="170" w:name="_Toc133420500"/>
      <w:bookmarkStart w:id="171" w:name="_Toc6831"/>
      <w:bookmarkStart w:id="172" w:name="_Toc51055744"/>
      <w:bookmarkStart w:id="173" w:name="_Toc45266426"/>
      <w:r>
        <w:rPr>
          <w:rFonts w:ascii="宋体" w:hAnsi="宋体" w:eastAsia="宋体"/>
          <w:highlight w:val="none"/>
        </w:rPr>
        <w:t>5.1开标时间和地点（B）</w:t>
      </w:r>
      <w:bookmarkEnd w:id="169"/>
      <w:bookmarkEnd w:id="170"/>
      <w:bookmarkEnd w:id="171"/>
      <w:bookmarkEnd w:id="172"/>
      <w:bookmarkEnd w:id="173"/>
    </w:p>
    <w:p w14:paraId="60E3E198">
      <w:pPr>
        <w:spacing w:line="360" w:lineRule="auto"/>
        <w:ind w:firstLine="420" w:firstLineChars="200"/>
        <w:rPr>
          <w:rFonts w:ascii="宋体" w:hAnsi="宋体" w:eastAsia="宋体"/>
          <w:highlight w:val="none"/>
        </w:rPr>
      </w:pPr>
      <w:bookmarkStart w:id="174" w:name="_Toc36466595"/>
      <w:r>
        <w:rPr>
          <w:rFonts w:hint="eastAsia" w:ascii="宋体" w:hAnsi="宋体" w:eastAsia="宋体"/>
          <w:highlight w:val="none"/>
        </w:rPr>
        <w:t>招标人在本章第</w:t>
      </w:r>
      <w:r>
        <w:rPr>
          <w:rFonts w:ascii="宋体" w:hAnsi="宋体" w:eastAsia="宋体"/>
          <w:highlight w:val="none"/>
        </w:rPr>
        <w:t xml:space="preserve"> 4.2.1项规定的投标截止时间（开标时间）。</w:t>
      </w:r>
    </w:p>
    <w:p w14:paraId="69F9820D">
      <w:pPr>
        <w:pStyle w:val="4"/>
        <w:spacing w:after="283" w:line="416" w:lineRule="auto"/>
        <w:ind w:left="132" w:firstLine="0" w:firstLineChars="0"/>
        <w:rPr>
          <w:rFonts w:ascii="宋体" w:hAnsi="宋体" w:eastAsia="宋体"/>
          <w:highlight w:val="none"/>
        </w:rPr>
      </w:pPr>
      <w:bookmarkStart w:id="175" w:name="_Toc27242"/>
      <w:bookmarkStart w:id="176" w:name="_Toc133420501"/>
      <w:bookmarkStart w:id="177" w:name="_Toc45266427"/>
      <w:bookmarkStart w:id="178" w:name="_Toc51055745"/>
      <w:r>
        <w:rPr>
          <w:rFonts w:ascii="宋体" w:hAnsi="宋体" w:eastAsia="宋体"/>
          <w:highlight w:val="none"/>
        </w:rPr>
        <w:t>5.2开标程序</w:t>
      </w:r>
      <w:bookmarkEnd w:id="174"/>
      <w:bookmarkEnd w:id="175"/>
      <w:bookmarkEnd w:id="176"/>
      <w:bookmarkEnd w:id="177"/>
      <w:bookmarkEnd w:id="178"/>
    </w:p>
    <w:p w14:paraId="517223C3">
      <w:pPr>
        <w:spacing w:line="360" w:lineRule="auto"/>
        <w:ind w:firstLine="420" w:firstLineChars="200"/>
        <w:rPr>
          <w:rFonts w:ascii="宋体" w:hAnsi="宋体" w:eastAsia="宋体"/>
          <w:highlight w:val="none"/>
        </w:rPr>
      </w:pPr>
      <w:r>
        <w:rPr>
          <w:rFonts w:hint="eastAsia" w:ascii="宋体" w:hAnsi="宋体" w:eastAsia="宋体"/>
          <w:highlight w:val="none"/>
        </w:rPr>
        <w:t>主持人按下列程序进行开标：</w:t>
      </w:r>
    </w:p>
    <w:p w14:paraId="0DAD53D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1）宣布开标纪律；</w:t>
      </w:r>
    </w:p>
    <w:p w14:paraId="4ED3344A">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2）公布在投标截止时间前递交投标文件的投标人名称；</w:t>
      </w:r>
    </w:p>
    <w:p w14:paraId="402D0556">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3）宣布开标人、唱标人、记录人、监标人等有关人员姓名；</w:t>
      </w:r>
    </w:p>
    <w:p w14:paraId="42101AFF">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 xml:space="preserve">4）（A）检查投标文件的密封情况，按照投标人须知前附表规定的开标顺序当众开标， </w:t>
      </w:r>
      <w:r>
        <w:rPr>
          <w:rFonts w:hint="eastAsia" w:ascii="宋体" w:hAnsi="宋体" w:eastAsia="宋体"/>
          <w:highlight w:val="none"/>
        </w:rPr>
        <w:t>公布招标项目名称、投标人名称、投标报价及其他内容，并记录在案；</w:t>
      </w:r>
    </w:p>
    <w:p w14:paraId="09C9A366">
      <w:pPr>
        <w:spacing w:line="360" w:lineRule="auto"/>
        <w:ind w:firstLine="420" w:firstLineChars="200"/>
        <w:rPr>
          <w:rFonts w:ascii="宋体" w:hAnsi="宋体" w:eastAsia="宋体"/>
          <w:highlight w:val="none"/>
        </w:rPr>
      </w:pPr>
      <w:r>
        <w:rPr>
          <w:rFonts w:hint="eastAsia" w:ascii="宋体" w:hAnsi="宋体" w:eastAsia="宋体"/>
          <w:highlight w:val="none"/>
        </w:rPr>
        <w:t>标项目名称、投标人名称、投标报价、服务期限及其他内容，并记录在案；</w:t>
      </w:r>
    </w:p>
    <w:p w14:paraId="259EC710">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5）（A）投标人代表、招标人代表、监标人、记录人等有关人员在开标记录上签字确认；</w:t>
      </w:r>
    </w:p>
    <w:p w14:paraId="252517A3">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6）开标结束。</w:t>
      </w:r>
    </w:p>
    <w:p w14:paraId="431D2223">
      <w:pPr>
        <w:pStyle w:val="4"/>
        <w:spacing w:after="283" w:line="416" w:lineRule="auto"/>
        <w:ind w:left="132" w:firstLine="0" w:firstLineChars="0"/>
        <w:rPr>
          <w:rFonts w:ascii="宋体" w:hAnsi="宋体" w:eastAsia="宋体"/>
          <w:highlight w:val="none"/>
        </w:rPr>
      </w:pPr>
      <w:bookmarkStart w:id="179" w:name="_Toc51055746"/>
      <w:bookmarkStart w:id="180" w:name="_Toc19459"/>
      <w:bookmarkStart w:id="181" w:name="_Toc45266428"/>
      <w:bookmarkStart w:id="182" w:name="_Toc36466596"/>
      <w:bookmarkStart w:id="183" w:name="_Toc133420502"/>
      <w:r>
        <w:rPr>
          <w:rFonts w:ascii="宋体" w:hAnsi="宋体" w:eastAsia="宋体"/>
          <w:highlight w:val="none"/>
        </w:rPr>
        <w:t>5.3开标异议</w:t>
      </w:r>
      <w:bookmarkEnd w:id="179"/>
      <w:bookmarkEnd w:id="180"/>
      <w:bookmarkEnd w:id="181"/>
      <w:bookmarkEnd w:id="182"/>
      <w:bookmarkEnd w:id="183"/>
    </w:p>
    <w:p w14:paraId="44D1A1EE">
      <w:pPr>
        <w:spacing w:line="360" w:lineRule="auto"/>
        <w:ind w:firstLine="420" w:firstLineChars="200"/>
        <w:rPr>
          <w:rFonts w:ascii="宋体" w:hAnsi="宋体" w:eastAsia="宋体"/>
          <w:highlight w:val="none"/>
        </w:rPr>
      </w:pPr>
      <w:r>
        <w:rPr>
          <w:rFonts w:hint="eastAsia" w:ascii="宋体" w:hAnsi="宋体" w:eastAsia="宋体"/>
          <w:highlight w:val="none"/>
        </w:rPr>
        <w:t>投标人对开标有异议的，应当在开标现场提出，招标人当场作出答复，并制作记录。</w:t>
      </w:r>
    </w:p>
    <w:p w14:paraId="799B19AF">
      <w:pPr>
        <w:pStyle w:val="3"/>
        <w:rPr>
          <w:color w:val="auto"/>
          <w:highlight w:val="none"/>
        </w:rPr>
      </w:pPr>
      <w:bookmarkStart w:id="184" w:name="_Toc12424"/>
      <w:r>
        <w:rPr>
          <w:color w:val="auto"/>
          <w:highlight w:val="none"/>
        </w:rPr>
        <w:t>6.评标</w:t>
      </w:r>
      <w:bookmarkEnd w:id="184"/>
    </w:p>
    <w:p w14:paraId="0B1897C6">
      <w:pPr>
        <w:pStyle w:val="4"/>
        <w:spacing w:after="283" w:line="416" w:lineRule="auto"/>
        <w:ind w:left="132" w:firstLine="0" w:firstLineChars="0"/>
        <w:rPr>
          <w:rFonts w:ascii="宋体" w:hAnsi="宋体" w:eastAsia="宋体"/>
          <w:highlight w:val="none"/>
        </w:rPr>
      </w:pPr>
      <w:bookmarkStart w:id="185" w:name="_Toc36466598"/>
      <w:bookmarkStart w:id="186" w:name="_Toc51055748"/>
      <w:bookmarkStart w:id="187" w:name="_Toc133420504"/>
      <w:bookmarkStart w:id="188" w:name="_Toc13311"/>
      <w:bookmarkStart w:id="189" w:name="_Toc45266430"/>
      <w:r>
        <w:rPr>
          <w:rFonts w:ascii="宋体" w:hAnsi="宋体" w:eastAsia="宋体"/>
          <w:highlight w:val="none"/>
        </w:rPr>
        <w:t>6.1评标委员会</w:t>
      </w:r>
      <w:bookmarkEnd w:id="185"/>
      <w:bookmarkEnd w:id="186"/>
      <w:bookmarkEnd w:id="187"/>
      <w:bookmarkEnd w:id="188"/>
      <w:bookmarkEnd w:id="189"/>
    </w:p>
    <w:p w14:paraId="308D4B5D">
      <w:pPr>
        <w:spacing w:line="360" w:lineRule="auto"/>
        <w:ind w:firstLine="420" w:firstLineChars="200"/>
        <w:rPr>
          <w:rFonts w:ascii="宋体" w:hAnsi="宋体" w:eastAsia="宋体"/>
          <w:highlight w:val="none"/>
        </w:rPr>
      </w:pPr>
      <w:r>
        <w:rPr>
          <w:rFonts w:ascii="宋体" w:hAnsi="宋体" w:eastAsia="宋体"/>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4837CAF">
      <w:pPr>
        <w:spacing w:line="360" w:lineRule="auto"/>
        <w:ind w:firstLine="420" w:firstLineChars="200"/>
        <w:rPr>
          <w:rFonts w:ascii="宋体" w:hAnsi="宋体" w:eastAsia="宋体"/>
          <w:highlight w:val="none"/>
        </w:rPr>
      </w:pPr>
      <w:r>
        <w:rPr>
          <w:rFonts w:ascii="宋体" w:hAnsi="宋体" w:eastAsia="宋体"/>
          <w:highlight w:val="none"/>
        </w:rPr>
        <w:t>6.1.2评标委员会成员有下列情形之一的，应当回避：</w:t>
      </w:r>
    </w:p>
    <w:p w14:paraId="35CD429B">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1）投标人或投标人主要负责人的近亲属；</w:t>
      </w:r>
    </w:p>
    <w:p w14:paraId="7ECEDC1B">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2）项目主管部门或者行政监督部门的人员；</w:t>
      </w:r>
    </w:p>
    <w:p w14:paraId="5157B057">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3）与投标人有经济利益关系，可能影响对投标公正评审的；</w:t>
      </w:r>
    </w:p>
    <w:p w14:paraId="10A9F672">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 xml:space="preserve">4）曾因在招标、评标以及其他与招标投标有关活动中从事违法行为而受过行政处罚 </w:t>
      </w:r>
      <w:r>
        <w:rPr>
          <w:rFonts w:hint="eastAsia" w:ascii="宋体" w:hAnsi="宋体" w:eastAsia="宋体"/>
          <w:highlight w:val="none"/>
        </w:rPr>
        <w:t>或刑事处罚的；</w:t>
      </w:r>
    </w:p>
    <w:p w14:paraId="20DAB49F">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5）与投标人有其他利害关系。</w:t>
      </w:r>
    </w:p>
    <w:p w14:paraId="7E479C42">
      <w:pPr>
        <w:spacing w:line="360" w:lineRule="auto"/>
        <w:ind w:firstLine="420" w:firstLineChars="200"/>
        <w:rPr>
          <w:rFonts w:ascii="宋体" w:hAnsi="宋体" w:eastAsia="宋体"/>
          <w:highlight w:val="none"/>
        </w:rPr>
      </w:pPr>
      <w:r>
        <w:rPr>
          <w:rFonts w:ascii="宋体" w:hAnsi="宋体" w:eastAsia="宋体"/>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14:paraId="7B5382AF">
      <w:pPr>
        <w:pStyle w:val="4"/>
        <w:spacing w:after="283" w:line="416" w:lineRule="auto"/>
        <w:ind w:left="132" w:firstLine="0" w:firstLineChars="0"/>
        <w:rPr>
          <w:rFonts w:ascii="宋体" w:hAnsi="宋体" w:eastAsia="宋体"/>
          <w:highlight w:val="none"/>
        </w:rPr>
      </w:pPr>
      <w:bookmarkStart w:id="190" w:name="_Toc45266431"/>
      <w:bookmarkStart w:id="191" w:name="_Toc51055749"/>
      <w:bookmarkStart w:id="192" w:name="_Toc28604"/>
      <w:bookmarkStart w:id="193" w:name="_Toc133420505"/>
      <w:bookmarkStart w:id="194" w:name="_Toc36466599"/>
      <w:r>
        <w:rPr>
          <w:rFonts w:ascii="宋体" w:hAnsi="宋体" w:eastAsia="宋体"/>
          <w:highlight w:val="none"/>
        </w:rPr>
        <w:t>6.2评标原则</w:t>
      </w:r>
      <w:bookmarkEnd w:id="190"/>
      <w:bookmarkEnd w:id="191"/>
      <w:bookmarkEnd w:id="192"/>
      <w:bookmarkEnd w:id="193"/>
      <w:bookmarkEnd w:id="194"/>
    </w:p>
    <w:p w14:paraId="43F6502D">
      <w:pPr>
        <w:spacing w:line="360" w:lineRule="auto"/>
        <w:ind w:firstLine="420" w:firstLineChars="200"/>
        <w:rPr>
          <w:rFonts w:ascii="宋体" w:hAnsi="宋体" w:eastAsia="宋体"/>
          <w:highlight w:val="none"/>
        </w:rPr>
      </w:pPr>
      <w:r>
        <w:rPr>
          <w:rFonts w:hint="eastAsia" w:ascii="宋体" w:hAnsi="宋体" w:eastAsia="宋体"/>
          <w:highlight w:val="none"/>
        </w:rPr>
        <w:t>评标活动遵循公平、公正、科学和择优的原则。</w:t>
      </w:r>
    </w:p>
    <w:p w14:paraId="5A1289A7">
      <w:pPr>
        <w:pStyle w:val="4"/>
        <w:spacing w:after="283" w:line="416" w:lineRule="auto"/>
        <w:ind w:left="132" w:firstLine="0" w:firstLineChars="0"/>
        <w:rPr>
          <w:rFonts w:ascii="宋体" w:hAnsi="宋体" w:eastAsia="宋体"/>
          <w:highlight w:val="none"/>
        </w:rPr>
      </w:pPr>
      <w:bookmarkStart w:id="195" w:name="_Toc36466600"/>
      <w:bookmarkStart w:id="196" w:name="_Toc133420506"/>
      <w:bookmarkStart w:id="197" w:name="_Toc45266432"/>
      <w:bookmarkStart w:id="198" w:name="_Toc7821"/>
      <w:bookmarkStart w:id="199" w:name="_Toc51055750"/>
      <w:r>
        <w:rPr>
          <w:rFonts w:ascii="宋体" w:hAnsi="宋体" w:eastAsia="宋体"/>
          <w:highlight w:val="none"/>
        </w:rPr>
        <w:t>6.3评标</w:t>
      </w:r>
      <w:bookmarkEnd w:id="195"/>
      <w:bookmarkEnd w:id="196"/>
      <w:bookmarkEnd w:id="197"/>
      <w:bookmarkEnd w:id="198"/>
      <w:bookmarkEnd w:id="199"/>
    </w:p>
    <w:p w14:paraId="51CD8FBF">
      <w:pPr>
        <w:spacing w:line="360" w:lineRule="auto"/>
        <w:ind w:firstLine="420" w:firstLineChars="200"/>
        <w:rPr>
          <w:rFonts w:ascii="宋体" w:hAnsi="宋体" w:eastAsia="宋体"/>
          <w:highlight w:val="none"/>
        </w:rPr>
      </w:pPr>
      <w:r>
        <w:rPr>
          <w:rFonts w:ascii="宋体" w:hAnsi="宋体" w:eastAsia="宋体"/>
          <w:highlight w:val="none"/>
        </w:rPr>
        <w:t>6.3.1评标委员会按照第三章“评标办法”规定的方法、评审因素、标准和程序对投标文件进行评审。第三章“评标办法”没有规定的方法、评审因素和标准，不作为评标依据。</w:t>
      </w:r>
    </w:p>
    <w:p w14:paraId="45D1004F">
      <w:pPr>
        <w:spacing w:line="360" w:lineRule="auto"/>
        <w:ind w:firstLine="420" w:firstLineChars="200"/>
        <w:rPr>
          <w:rFonts w:ascii="宋体" w:hAnsi="宋体" w:eastAsia="宋体"/>
          <w:highlight w:val="none"/>
        </w:rPr>
      </w:pPr>
      <w:r>
        <w:rPr>
          <w:rFonts w:ascii="宋体" w:hAnsi="宋体" w:eastAsia="宋体"/>
          <w:highlight w:val="none"/>
        </w:rPr>
        <w:t>6.3.2评标完成后，评标委员会应当向招标人提交书面评标报告和中标候选人名单。评标委员会推荐中标候选人的人数见投标人须知前附表。</w:t>
      </w:r>
    </w:p>
    <w:p w14:paraId="3535C1CE">
      <w:pPr>
        <w:pStyle w:val="3"/>
        <w:rPr>
          <w:color w:val="auto"/>
          <w:highlight w:val="none"/>
        </w:rPr>
      </w:pPr>
      <w:bookmarkStart w:id="200" w:name="_Toc3758"/>
      <w:r>
        <w:rPr>
          <w:color w:val="auto"/>
          <w:highlight w:val="none"/>
        </w:rPr>
        <w:t>7.合同授予</w:t>
      </w:r>
      <w:bookmarkEnd w:id="200"/>
    </w:p>
    <w:p w14:paraId="7A3C4BE2">
      <w:pPr>
        <w:pStyle w:val="4"/>
        <w:spacing w:after="283" w:line="416" w:lineRule="auto"/>
        <w:ind w:left="132" w:firstLine="0" w:firstLineChars="0"/>
        <w:rPr>
          <w:rFonts w:ascii="宋体" w:hAnsi="宋体" w:eastAsia="宋体"/>
          <w:highlight w:val="none"/>
        </w:rPr>
      </w:pPr>
      <w:bookmarkStart w:id="201" w:name="_Toc36466602"/>
      <w:bookmarkStart w:id="202" w:name="_Toc45266434"/>
      <w:bookmarkStart w:id="203" w:name="_Toc8315"/>
      <w:bookmarkStart w:id="204" w:name="_Toc51055752"/>
      <w:bookmarkStart w:id="205" w:name="_Toc133420508"/>
      <w:r>
        <w:rPr>
          <w:rFonts w:ascii="宋体" w:hAnsi="宋体" w:eastAsia="宋体"/>
          <w:highlight w:val="none"/>
        </w:rPr>
        <w:t>7.1中标候选人公示</w:t>
      </w:r>
      <w:bookmarkEnd w:id="201"/>
      <w:bookmarkEnd w:id="202"/>
      <w:bookmarkEnd w:id="203"/>
      <w:bookmarkEnd w:id="204"/>
      <w:bookmarkEnd w:id="205"/>
    </w:p>
    <w:p w14:paraId="1EF2D5B7">
      <w:pPr>
        <w:spacing w:line="360" w:lineRule="auto"/>
        <w:ind w:firstLine="420" w:firstLineChars="200"/>
        <w:rPr>
          <w:rFonts w:ascii="宋体" w:hAnsi="宋体" w:eastAsia="宋体"/>
          <w:highlight w:val="none"/>
        </w:rPr>
      </w:pPr>
      <w:r>
        <w:rPr>
          <w:rFonts w:hint="eastAsia" w:ascii="宋体" w:hAnsi="宋体" w:eastAsia="宋体"/>
          <w:highlight w:val="none"/>
        </w:rPr>
        <w:t>招标人在收到评标报告之日起</w:t>
      </w:r>
      <w:r>
        <w:rPr>
          <w:rFonts w:ascii="宋体" w:hAnsi="宋体" w:eastAsia="宋体"/>
          <w:highlight w:val="none"/>
        </w:rPr>
        <w:t>3日内，按照投标人须知前附表规定的公示媒介和期限公示中标候选人，公示期不得少于3天。</w:t>
      </w:r>
    </w:p>
    <w:p w14:paraId="594C6D48">
      <w:pPr>
        <w:pStyle w:val="4"/>
        <w:spacing w:after="283" w:line="416" w:lineRule="auto"/>
        <w:ind w:left="132" w:firstLine="0" w:firstLineChars="0"/>
        <w:rPr>
          <w:rFonts w:ascii="宋体" w:hAnsi="宋体" w:eastAsia="宋体"/>
          <w:highlight w:val="none"/>
        </w:rPr>
      </w:pPr>
      <w:bookmarkStart w:id="206" w:name="_Toc31925"/>
      <w:bookmarkStart w:id="207" w:name="_Toc133420509"/>
      <w:bookmarkStart w:id="208" w:name="_Toc51055753"/>
      <w:bookmarkStart w:id="209" w:name="_Toc36466603"/>
      <w:bookmarkStart w:id="210" w:name="_Toc45266435"/>
      <w:r>
        <w:rPr>
          <w:rFonts w:ascii="宋体" w:hAnsi="宋体" w:eastAsia="宋体"/>
          <w:highlight w:val="none"/>
        </w:rPr>
        <w:t>7.2评标结果异议</w:t>
      </w:r>
      <w:bookmarkEnd w:id="206"/>
      <w:bookmarkEnd w:id="207"/>
      <w:bookmarkEnd w:id="208"/>
      <w:bookmarkEnd w:id="209"/>
      <w:bookmarkEnd w:id="210"/>
    </w:p>
    <w:p w14:paraId="2F1BC3B7">
      <w:pPr>
        <w:spacing w:line="360" w:lineRule="auto"/>
        <w:ind w:firstLine="420" w:firstLineChars="200"/>
        <w:rPr>
          <w:rFonts w:ascii="宋体" w:hAnsi="宋体" w:eastAsia="宋体"/>
          <w:highlight w:val="none"/>
        </w:rPr>
      </w:pPr>
      <w:r>
        <w:rPr>
          <w:rFonts w:hint="eastAsia" w:ascii="宋体" w:hAnsi="宋体" w:eastAsia="宋体"/>
          <w:highlight w:val="none"/>
        </w:rPr>
        <w:t>投标人或者其他利害关系人对评标结果有异议的，应当在中标候选人公示期间提出。招标人将在收到异议之日起</w:t>
      </w:r>
      <w:r>
        <w:rPr>
          <w:rFonts w:ascii="宋体" w:hAnsi="宋体" w:eastAsia="宋体"/>
          <w:highlight w:val="none"/>
        </w:rPr>
        <w:t>3日内作出答复；作出答复前，将暂停招标投标活动。</w:t>
      </w:r>
    </w:p>
    <w:p w14:paraId="02184824">
      <w:pPr>
        <w:pStyle w:val="4"/>
        <w:spacing w:after="283" w:line="416" w:lineRule="auto"/>
        <w:ind w:left="132" w:firstLine="0" w:firstLineChars="0"/>
        <w:rPr>
          <w:rFonts w:ascii="宋体" w:hAnsi="宋体" w:eastAsia="宋体"/>
          <w:highlight w:val="none"/>
        </w:rPr>
      </w:pPr>
      <w:bookmarkStart w:id="211" w:name="_Toc19097"/>
      <w:bookmarkStart w:id="212" w:name="_Toc133420510"/>
      <w:bookmarkStart w:id="213" w:name="_Toc45266436"/>
      <w:bookmarkStart w:id="214" w:name="_Toc51055754"/>
      <w:bookmarkStart w:id="215" w:name="_Toc36466604"/>
      <w:r>
        <w:rPr>
          <w:rFonts w:ascii="宋体" w:hAnsi="宋体" w:eastAsia="宋体"/>
          <w:highlight w:val="none"/>
        </w:rPr>
        <w:t>7.3中标候选人履约能力审查</w:t>
      </w:r>
      <w:bookmarkEnd w:id="211"/>
      <w:bookmarkEnd w:id="212"/>
      <w:bookmarkEnd w:id="213"/>
      <w:bookmarkEnd w:id="214"/>
      <w:bookmarkEnd w:id="215"/>
    </w:p>
    <w:p w14:paraId="622A6D25">
      <w:pPr>
        <w:spacing w:line="360" w:lineRule="auto"/>
        <w:ind w:firstLine="420" w:firstLineChars="200"/>
        <w:rPr>
          <w:rFonts w:ascii="宋体" w:hAnsi="宋体" w:eastAsia="宋体"/>
          <w:highlight w:val="none"/>
        </w:rPr>
      </w:pPr>
      <w:r>
        <w:rPr>
          <w:rFonts w:hint="eastAsia" w:ascii="宋体" w:hAnsi="宋体" w:eastAsia="宋体"/>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D34287A">
      <w:pPr>
        <w:pStyle w:val="4"/>
        <w:spacing w:after="283" w:line="416" w:lineRule="auto"/>
        <w:ind w:left="132" w:firstLine="0" w:firstLineChars="0"/>
        <w:rPr>
          <w:rFonts w:ascii="宋体" w:hAnsi="宋体" w:eastAsia="宋体"/>
          <w:highlight w:val="none"/>
        </w:rPr>
      </w:pPr>
      <w:bookmarkStart w:id="216" w:name="_Toc51055755"/>
      <w:bookmarkStart w:id="217" w:name="_Toc36466605"/>
      <w:bookmarkStart w:id="218" w:name="_Toc45266437"/>
      <w:bookmarkStart w:id="219" w:name="_Toc13029"/>
      <w:bookmarkStart w:id="220" w:name="_Toc133420511"/>
      <w:r>
        <w:rPr>
          <w:rFonts w:ascii="宋体" w:hAnsi="宋体" w:eastAsia="宋体"/>
          <w:highlight w:val="none"/>
        </w:rPr>
        <w:t>7.4定标</w:t>
      </w:r>
      <w:bookmarkEnd w:id="216"/>
      <w:bookmarkEnd w:id="217"/>
      <w:bookmarkEnd w:id="218"/>
      <w:bookmarkEnd w:id="219"/>
      <w:bookmarkEnd w:id="220"/>
    </w:p>
    <w:p w14:paraId="7E3DD6E0">
      <w:pPr>
        <w:spacing w:line="360" w:lineRule="auto"/>
        <w:ind w:firstLine="420" w:firstLineChars="200"/>
        <w:rPr>
          <w:rFonts w:ascii="宋体" w:hAnsi="宋体" w:eastAsia="宋体"/>
          <w:highlight w:val="none"/>
        </w:rPr>
      </w:pPr>
      <w:r>
        <w:rPr>
          <w:rFonts w:hint="eastAsia" w:ascii="宋体" w:hAnsi="宋体" w:eastAsia="宋体"/>
          <w:highlight w:val="none"/>
        </w:rPr>
        <w:t>按照投标人须知前附表的规定，招标人或招标人授权的评标委员会依法确定中标人。</w:t>
      </w:r>
    </w:p>
    <w:p w14:paraId="4BA590C4">
      <w:pPr>
        <w:pStyle w:val="4"/>
        <w:spacing w:after="283" w:line="416" w:lineRule="auto"/>
        <w:ind w:left="132" w:firstLine="0" w:firstLineChars="0"/>
        <w:rPr>
          <w:rFonts w:ascii="宋体" w:hAnsi="宋体" w:eastAsia="宋体"/>
          <w:highlight w:val="none"/>
        </w:rPr>
      </w:pPr>
      <w:bookmarkStart w:id="221" w:name="_Toc22279"/>
      <w:bookmarkStart w:id="222" w:name="_Toc51055756"/>
      <w:bookmarkStart w:id="223" w:name="_Toc36466606"/>
      <w:bookmarkStart w:id="224" w:name="_Toc45266438"/>
      <w:bookmarkStart w:id="225" w:name="_Toc133420512"/>
      <w:r>
        <w:rPr>
          <w:rFonts w:ascii="宋体" w:hAnsi="宋体" w:eastAsia="宋体"/>
          <w:highlight w:val="none"/>
        </w:rPr>
        <w:t>7.5中标通知</w:t>
      </w:r>
      <w:bookmarkEnd w:id="221"/>
      <w:bookmarkEnd w:id="222"/>
      <w:bookmarkEnd w:id="223"/>
      <w:bookmarkEnd w:id="224"/>
      <w:bookmarkEnd w:id="225"/>
    </w:p>
    <w:p w14:paraId="57B8A529">
      <w:pPr>
        <w:spacing w:line="360" w:lineRule="auto"/>
        <w:ind w:firstLine="420" w:firstLineChars="200"/>
        <w:rPr>
          <w:rFonts w:ascii="宋体" w:hAnsi="宋体" w:eastAsia="宋体"/>
          <w:highlight w:val="none"/>
        </w:rPr>
      </w:pPr>
      <w:r>
        <w:rPr>
          <w:rFonts w:hint="eastAsia" w:ascii="宋体" w:hAnsi="宋体" w:eastAsia="宋体"/>
          <w:highlight w:val="none"/>
        </w:rPr>
        <w:t>在本章第</w:t>
      </w:r>
      <w:r>
        <w:rPr>
          <w:rFonts w:ascii="宋体" w:hAnsi="宋体" w:eastAsia="宋体"/>
          <w:highlight w:val="none"/>
        </w:rPr>
        <w:t xml:space="preserve">3.3 </w:t>
      </w:r>
      <w:r>
        <w:rPr>
          <w:rFonts w:hint="eastAsia" w:ascii="宋体" w:hAnsi="宋体" w:eastAsia="宋体"/>
          <w:highlight w:val="none"/>
        </w:rPr>
        <w:t>款规定的投标有效期内，招标人以书面形式向中标人发出中标通知书，同时将中标结果通知未中标的投标人。</w:t>
      </w:r>
    </w:p>
    <w:p w14:paraId="6E1FE19D">
      <w:pPr>
        <w:pStyle w:val="4"/>
        <w:spacing w:after="283" w:line="416" w:lineRule="auto"/>
        <w:ind w:left="132" w:firstLine="0" w:firstLineChars="0"/>
        <w:rPr>
          <w:rFonts w:ascii="宋体" w:hAnsi="宋体" w:eastAsia="宋体"/>
          <w:highlight w:val="none"/>
        </w:rPr>
      </w:pPr>
      <w:bookmarkStart w:id="226" w:name="_Toc6841"/>
      <w:bookmarkStart w:id="227" w:name="_Toc45266439"/>
      <w:bookmarkStart w:id="228" w:name="_Toc51055757"/>
      <w:bookmarkStart w:id="229" w:name="_Toc36466607"/>
      <w:bookmarkStart w:id="230" w:name="_Toc133420513"/>
      <w:r>
        <w:rPr>
          <w:rFonts w:ascii="宋体" w:hAnsi="宋体" w:eastAsia="宋体"/>
          <w:highlight w:val="none"/>
        </w:rPr>
        <w:t>7.6履约保证金</w:t>
      </w:r>
      <w:bookmarkEnd w:id="226"/>
      <w:bookmarkEnd w:id="227"/>
      <w:bookmarkEnd w:id="228"/>
      <w:bookmarkEnd w:id="229"/>
      <w:bookmarkEnd w:id="230"/>
    </w:p>
    <w:p w14:paraId="6ABE0B0D">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本项目不要递交履约保证金。</w:t>
      </w:r>
    </w:p>
    <w:p w14:paraId="49CA052D">
      <w:pPr>
        <w:pStyle w:val="4"/>
        <w:spacing w:after="283" w:line="416" w:lineRule="auto"/>
        <w:ind w:left="132" w:firstLine="0" w:firstLineChars="0"/>
        <w:rPr>
          <w:rFonts w:ascii="宋体" w:hAnsi="宋体" w:eastAsia="宋体"/>
          <w:highlight w:val="none"/>
        </w:rPr>
      </w:pPr>
      <w:bookmarkStart w:id="231" w:name="_Toc45266440"/>
      <w:bookmarkStart w:id="232" w:name="_Toc10700"/>
      <w:bookmarkStart w:id="233" w:name="_Toc133420514"/>
      <w:bookmarkStart w:id="234" w:name="_Toc36466608"/>
      <w:bookmarkStart w:id="235" w:name="_Toc51055758"/>
      <w:r>
        <w:rPr>
          <w:rFonts w:ascii="宋体" w:hAnsi="宋体" w:eastAsia="宋体"/>
          <w:highlight w:val="none"/>
        </w:rPr>
        <w:t>7.7签订合同</w:t>
      </w:r>
      <w:bookmarkEnd w:id="231"/>
      <w:bookmarkEnd w:id="232"/>
      <w:bookmarkEnd w:id="233"/>
      <w:bookmarkEnd w:id="234"/>
      <w:bookmarkEnd w:id="235"/>
    </w:p>
    <w:p w14:paraId="0DDADF6F">
      <w:pPr>
        <w:spacing w:line="360" w:lineRule="auto"/>
        <w:ind w:firstLine="420" w:firstLineChars="200"/>
        <w:rPr>
          <w:rFonts w:ascii="宋体" w:hAnsi="宋体" w:eastAsia="宋体"/>
          <w:highlight w:val="none"/>
        </w:rPr>
      </w:pPr>
      <w:r>
        <w:rPr>
          <w:rFonts w:ascii="宋体" w:hAnsi="宋体" w:eastAsia="宋体"/>
          <w:highlight w:val="none"/>
        </w:rPr>
        <w:t>7.7.1招标人和中标人应当在中标通知书发出之日起30日内，根据招标文件和中标人的投标文件订立书面合同。中标人无正当理由拒签合同，在签订合同时向招标人提出附加条件，招标人有权取消其中标资格；给招标人造成损失的，中标人还应当对超过部分予以赔偿。</w:t>
      </w:r>
    </w:p>
    <w:p w14:paraId="1CD34834">
      <w:pPr>
        <w:spacing w:line="360" w:lineRule="auto"/>
        <w:ind w:firstLine="420" w:firstLineChars="200"/>
        <w:rPr>
          <w:rFonts w:ascii="宋体" w:hAnsi="宋体" w:eastAsia="宋体"/>
          <w:highlight w:val="none"/>
        </w:rPr>
      </w:pPr>
      <w:r>
        <w:rPr>
          <w:rFonts w:ascii="宋体" w:hAnsi="宋体" w:eastAsia="宋体"/>
          <w:highlight w:val="none"/>
        </w:rPr>
        <w:t>7.7.2发出中标通知书后，招标人无正当理由拒签合同，或者在签订合同时向中标人提出附加条件的，给中标人造成损失的，还应当赔偿损失。</w:t>
      </w:r>
    </w:p>
    <w:p w14:paraId="529FEDDD">
      <w:pPr>
        <w:pStyle w:val="3"/>
        <w:rPr>
          <w:color w:val="auto"/>
          <w:highlight w:val="none"/>
        </w:rPr>
      </w:pPr>
      <w:bookmarkStart w:id="236" w:name="_Toc28361"/>
      <w:r>
        <w:rPr>
          <w:color w:val="auto"/>
          <w:highlight w:val="none"/>
        </w:rPr>
        <w:t>8.纪律和监督</w:t>
      </w:r>
      <w:bookmarkEnd w:id="236"/>
    </w:p>
    <w:p w14:paraId="30EAF4DA">
      <w:pPr>
        <w:pStyle w:val="4"/>
        <w:spacing w:after="283" w:line="416" w:lineRule="auto"/>
        <w:ind w:left="132" w:firstLine="0" w:firstLineChars="0"/>
        <w:rPr>
          <w:rFonts w:ascii="宋体" w:hAnsi="宋体" w:eastAsia="宋体"/>
          <w:highlight w:val="none"/>
        </w:rPr>
      </w:pPr>
      <w:bookmarkStart w:id="237" w:name="_Toc45266442"/>
      <w:bookmarkStart w:id="238" w:name="_Toc1822"/>
      <w:bookmarkStart w:id="239" w:name="_Toc51055760"/>
      <w:bookmarkStart w:id="240" w:name="_Toc133420516"/>
      <w:bookmarkStart w:id="241" w:name="_Toc36466610"/>
      <w:r>
        <w:rPr>
          <w:rFonts w:ascii="宋体" w:hAnsi="宋体" w:eastAsia="宋体"/>
          <w:highlight w:val="none"/>
        </w:rPr>
        <w:t>8.1对招标人的纪律要求</w:t>
      </w:r>
      <w:bookmarkEnd w:id="237"/>
      <w:bookmarkEnd w:id="238"/>
      <w:bookmarkEnd w:id="239"/>
      <w:bookmarkEnd w:id="240"/>
      <w:bookmarkEnd w:id="241"/>
    </w:p>
    <w:p w14:paraId="62D96310">
      <w:pPr>
        <w:spacing w:line="360" w:lineRule="auto"/>
        <w:ind w:firstLine="420" w:firstLineChars="200"/>
        <w:rPr>
          <w:rFonts w:ascii="宋体" w:hAnsi="宋体" w:eastAsia="宋体"/>
          <w:highlight w:val="none"/>
        </w:rPr>
      </w:pPr>
      <w:r>
        <w:rPr>
          <w:rFonts w:hint="eastAsia" w:ascii="宋体" w:hAnsi="宋体" w:eastAsia="宋体"/>
          <w:highlight w:val="none"/>
        </w:rPr>
        <w:t>招标人不得泄露招标投标活动中应当保密的情况和资料，不得与投标人串通损害国家利益、社会公共利益或者他人合法权益。</w:t>
      </w:r>
    </w:p>
    <w:p w14:paraId="0F2C25CA">
      <w:pPr>
        <w:pStyle w:val="4"/>
        <w:spacing w:after="283" w:line="416" w:lineRule="auto"/>
        <w:ind w:left="132" w:firstLine="0" w:firstLineChars="0"/>
        <w:rPr>
          <w:rFonts w:ascii="宋体" w:hAnsi="宋体" w:eastAsia="宋体"/>
          <w:highlight w:val="none"/>
        </w:rPr>
      </w:pPr>
      <w:bookmarkStart w:id="242" w:name="_Toc45266443"/>
      <w:bookmarkStart w:id="243" w:name="_Toc3692"/>
      <w:bookmarkStart w:id="244" w:name="_Toc51055761"/>
      <w:bookmarkStart w:id="245" w:name="_Toc133420517"/>
      <w:bookmarkStart w:id="246" w:name="_Toc36466611"/>
      <w:r>
        <w:rPr>
          <w:rFonts w:ascii="宋体" w:hAnsi="宋体" w:eastAsia="宋体"/>
          <w:highlight w:val="none"/>
        </w:rPr>
        <w:t>8.2对投标人的纪律要求</w:t>
      </w:r>
      <w:bookmarkEnd w:id="242"/>
      <w:bookmarkEnd w:id="243"/>
      <w:bookmarkEnd w:id="244"/>
      <w:bookmarkEnd w:id="245"/>
      <w:bookmarkEnd w:id="246"/>
    </w:p>
    <w:p w14:paraId="36FA6F99">
      <w:pPr>
        <w:spacing w:line="360" w:lineRule="auto"/>
        <w:ind w:firstLine="420" w:firstLineChars="200"/>
        <w:rPr>
          <w:rFonts w:ascii="宋体" w:hAnsi="宋体" w:eastAsia="宋体"/>
          <w:highlight w:val="none"/>
        </w:rPr>
      </w:pPr>
      <w:r>
        <w:rPr>
          <w:rFonts w:hint="eastAsia" w:ascii="宋体" w:hAnsi="宋体" w:eastAsia="宋体"/>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7063B9A">
      <w:pPr>
        <w:pStyle w:val="4"/>
        <w:spacing w:after="283" w:line="416" w:lineRule="auto"/>
        <w:ind w:left="132" w:firstLine="0" w:firstLineChars="0"/>
        <w:rPr>
          <w:rFonts w:ascii="宋体" w:hAnsi="宋体" w:eastAsia="宋体"/>
          <w:highlight w:val="none"/>
        </w:rPr>
      </w:pPr>
      <w:bookmarkStart w:id="247" w:name="_Toc45266444"/>
      <w:bookmarkStart w:id="248" w:name="_Toc36466612"/>
      <w:bookmarkStart w:id="249" w:name="_Toc133420518"/>
      <w:bookmarkStart w:id="250" w:name="_Toc51055762"/>
      <w:bookmarkStart w:id="251" w:name="_Toc13582"/>
      <w:r>
        <w:rPr>
          <w:rFonts w:ascii="宋体" w:hAnsi="宋体" w:eastAsia="宋体"/>
          <w:highlight w:val="none"/>
        </w:rPr>
        <w:t>8.3对评标委员会成员的纪律要求</w:t>
      </w:r>
      <w:bookmarkEnd w:id="247"/>
      <w:bookmarkEnd w:id="248"/>
      <w:bookmarkEnd w:id="249"/>
      <w:bookmarkEnd w:id="250"/>
      <w:bookmarkEnd w:id="251"/>
    </w:p>
    <w:p w14:paraId="7B23664C">
      <w:pPr>
        <w:spacing w:line="360" w:lineRule="auto"/>
        <w:ind w:firstLine="420" w:firstLineChars="200"/>
        <w:rPr>
          <w:rFonts w:ascii="宋体" w:hAnsi="宋体" w:eastAsia="宋体"/>
          <w:highlight w:val="none"/>
        </w:rPr>
      </w:pPr>
      <w:r>
        <w:rPr>
          <w:rFonts w:hint="eastAsia" w:ascii="宋体" w:hAnsi="宋体" w:eastAsia="宋体"/>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6A73232">
      <w:pPr>
        <w:pStyle w:val="4"/>
        <w:spacing w:after="283" w:line="416" w:lineRule="auto"/>
        <w:ind w:left="132" w:firstLine="0" w:firstLineChars="0"/>
        <w:rPr>
          <w:rFonts w:ascii="宋体" w:hAnsi="宋体" w:eastAsia="宋体"/>
          <w:highlight w:val="none"/>
        </w:rPr>
      </w:pPr>
      <w:bookmarkStart w:id="252" w:name="_Toc17209"/>
      <w:r>
        <w:rPr>
          <w:rFonts w:ascii="宋体" w:hAnsi="宋体" w:eastAsia="宋体"/>
          <w:highlight w:val="none"/>
        </w:rPr>
        <w:t>8.4对与评标活动有关的工作人员的纪律要求</w:t>
      </w:r>
      <w:bookmarkEnd w:id="252"/>
    </w:p>
    <w:p w14:paraId="50E5C838">
      <w:pPr>
        <w:spacing w:line="360" w:lineRule="auto"/>
        <w:ind w:firstLine="420" w:firstLineChars="200"/>
        <w:rPr>
          <w:rFonts w:ascii="宋体" w:hAnsi="宋体" w:eastAsia="宋体"/>
          <w:highlight w:val="none"/>
        </w:rPr>
      </w:pPr>
      <w:r>
        <w:rPr>
          <w:rFonts w:hint="eastAsia" w:ascii="宋体" w:hAnsi="宋体" w:eastAsia="宋体"/>
          <w:highlight w:val="none"/>
        </w:rPr>
        <w:t>与评标活动有关的工作人员不得收受他人的财物或者其他好处，不得向他人透露对投标文</w:t>
      </w:r>
      <w:r>
        <w:rPr>
          <w:rFonts w:ascii="宋体" w:hAnsi="宋体" w:eastAsia="宋体"/>
          <w:highlight w:val="none"/>
        </w:rPr>
        <w:t xml:space="preserve"> </w:t>
      </w:r>
      <w:r>
        <w:rPr>
          <w:rFonts w:hint="eastAsia" w:ascii="宋体" w:hAnsi="宋体" w:eastAsia="宋体"/>
          <w:highlight w:val="none"/>
        </w:rPr>
        <w:t>件的评审和比较、中标候选人的推荐情况以及评标有关的其他情况。在评标活动中，与评标活动有关的工作人员不得擅离职守，影响评标程序正常进行。</w:t>
      </w:r>
    </w:p>
    <w:p w14:paraId="3F08CE0C">
      <w:pPr>
        <w:pStyle w:val="4"/>
        <w:spacing w:after="283" w:line="416" w:lineRule="auto"/>
        <w:ind w:left="132" w:firstLine="0" w:firstLineChars="0"/>
        <w:rPr>
          <w:rFonts w:ascii="宋体" w:hAnsi="宋体" w:eastAsia="宋体"/>
          <w:highlight w:val="none"/>
        </w:rPr>
      </w:pPr>
      <w:bookmarkStart w:id="253" w:name="_Toc36466613"/>
      <w:bookmarkStart w:id="254" w:name="_Toc45266445"/>
      <w:bookmarkStart w:id="255" w:name="_Toc133420519"/>
      <w:bookmarkStart w:id="256" w:name="_Toc51055763"/>
      <w:bookmarkStart w:id="257" w:name="_Toc11122"/>
      <w:r>
        <w:rPr>
          <w:rFonts w:ascii="宋体" w:hAnsi="宋体" w:eastAsia="宋体"/>
          <w:highlight w:val="none"/>
        </w:rPr>
        <w:t>8.5投诉</w:t>
      </w:r>
      <w:bookmarkEnd w:id="253"/>
      <w:bookmarkEnd w:id="254"/>
      <w:bookmarkEnd w:id="255"/>
      <w:bookmarkEnd w:id="256"/>
      <w:bookmarkEnd w:id="257"/>
    </w:p>
    <w:p w14:paraId="59013FF6">
      <w:pPr>
        <w:spacing w:line="360" w:lineRule="auto"/>
        <w:ind w:firstLine="420" w:firstLineChars="200"/>
        <w:rPr>
          <w:rFonts w:ascii="宋体" w:hAnsi="宋体" w:eastAsia="宋体"/>
          <w:highlight w:val="none"/>
        </w:rPr>
      </w:pPr>
      <w:r>
        <w:rPr>
          <w:rFonts w:ascii="宋体" w:hAnsi="宋体" w:eastAsia="宋体"/>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69EF9CD1">
      <w:pPr>
        <w:spacing w:line="360" w:lineRule="auto"/>
        <w:ind w:firstLine="420" w:firstLineChars="200"/>
        <w:rPr>
          <w:rFonts w:ascii="宋体" w:hAnsi="宋体" w:eastAsia="宋体"/>
          <w:highlight w:val="none"/>
        </w:rPr>
      </w:pPr>
      <w:r>
        <w:rPr>
          <w:rFonts w:ascii="宋体" w:hAnsi="宋体" w:eastAsia="宋体"/>
          <w:highlight w:val="none"/>
        </w:rPr>
        <w:t xml:space="preserve">8.5.2投标人或者其他利害关系人对招标文件、开标和评标结果提出投诉的，应当按照投标人须知第2.4款、第 5.3 </w:t>
      </w:r>
      <w:r>
        <w:rPr>
          <w:rFonts w:hint="eastAsia" w:ascii="宋体" w:hAnsi="宋体" w:eastAsia="宋体"/>
          <w:highlight w:val="none"/>
        </w:rPr>
        <w:t>款和第</w:t>
      </w:r>
      <w:r>
        <w:rPr>
          <w:rFonts w:ascii="宋体" w:hAnsi="宋体" w:eastAsia="宋体"/>
          <w:highlight w:val="none"/>
        </w:rPr>
        <w:t xml:space="preserve"> 7.2 </w:t>
      </w:r>
      <w:r>
        <w:rPr>
          <w:rFonts w:hint="eastAsia" w:ascii="宋体" w:hAnsi="宋体" w:eastAsia="宋体"/>
          <w:highlight w:val="none"/>
        </w:rPr>
        <w:t>款的规定先向招标人提出异议。异议答复期间不计算在第</w:t>
      </w:r>
      <w:r>
        <w:rPr>
          <w:rFonts w:ascii="宋体" w:hAnsi="宋体" w:eastAsia="宋体"/>
          <w:highlight w:val="none"/>
        </w:rPr>
        <w:t xml:space="preserve"> 8.5.1项规定的期限内。</w:t>
      </w:r>
    </w:p>
    <w:p w14:paraId="07D16176">
      <w:pPr>
        <w:pStyle w:val="3"/>
        <w:rPr>
          <w:color w:val="auto"/>
          <w:highlight w:val="none"/>
        </w:rPr>
      </w:pPr>
      <w:bookmarkStart w:id="258" w:name="_Toc36466614"/>
      <w:bookmarkStart w:id="259" w:name="_Toc51055764"/>
      <w:bookmarkStart w:id="260" w:name="_Toc45266446"/>
      <w:bookmarkStart w:id="261" w:name="_Toc12229"/>
      <w:r>
        <w:rPr>
          <w:color w:val="auto"/>
          <w:highlight w:val="none"/>
        </w:rPr>
        <w:t xml:space="preserve">9. </w:t>
      </w:r>
      <w:r>
        <w:rPr>
          <w:rFonts w:hint="eastAsia"/>
          <w:color w:val="auto"/>
          <w:highlight w:val="none"/>
        </w:rPr>
        <w:t>是否采用电子招标投标</w:t>
      </w:r>
      <w:bookmarkEnd w:id="258"/>
      <w:bookmarkEnd w:id="259"/>
      <w:bookmarkEnd w:id="260"/>
      <w:bookmarkEnd w:id="261"/>
    </w:p>
    <w:p w14:paraId="5EC05699">
      <w:pPr>
        <w:spacing w:line="360" w:lineRule="auto"/>
        <w:ind w:firstLine="420" w:firstLineChars="200"/>
        <w:rPr>
          <w:rFonts w:ascii="宋体" w:hAnsi="宋体" w:eastAsia="宋体"/>
          <w:highlight w:val="none"/>
        </w:rPr>
      </w:pPr>
      <w:r>
        <w:rPr>
          <w:rFonts w:hint="eastAsia" w:ascii="宋体" w:hAnsi="宋体" w:eastAsia="宋体"/>
          <w:highlight w:val="none"/>
        </w:rPr>
        <w:t>本招标项目是否采用电子招标投标方式，见投标人须知前附表。</w:t>
      </w:r>
    </w:p>
    <w:p w14:paraId="03252826">
      <w:pPr>
        <w:pStyle w:val="3"/>
        <w:rPr>
          <w:color w:val="auto"/>
          <w:highlight w:val="none"/>
        </w:rPr>
      </w:pPr>
      <w:bookmarkStart w:id="262" w:name="_Toc45266447"/>
      <w:bookmarkStart w:id="263" w:name="_Toc51055765"/>
      <w:bookmarkStart w:id="264" w:name="_Toc19526"/>
      <w:bookmarkStart w:id="265" w:name="_Toc36466615"/>
      <w:r>
        <w:rPr>
          <w:color w:val="auto"/>
          <w:highlight w:val="none"/>
        </w:rPr>
        <w:t xml:space="preserve">10. </w:t>
      </w:r>
      <w:r>
        <w:rPr>
          <w:rFonts w:hint="eastAsia"/>
          <w:color w:val="auto"/>
          <w:highlight w:val="none"/>
        </w:rPr>
        <w:t>需要补充的其他内容</w:t>
      </w:r>
      <w:bookmarkEnd w:id="262"/>
      <w:bookmarkEnd w:id="263"/>
      <w:bookmarkEnd w:id="264"/>
      <w:bookmarkEnd w:id="265"/>
    </w:p>
    <w:p w14:paraId="63E8F6F2">
      <w:pPr>
        <w:spacing w:line="360" w:lineRule="auto"/>
        <w:ind w:firstLine="420" w:firstLineChars="200"/>
        <w:rPr>
          <w:rFonts w:ascii="宋体" w:hAnsi="宋体" w:eastAsia="宋体"/>
          <w:highlight w:val="none"/>
        </w:rPr>
      </w:pPr>
      <w:r>
        <w:rPr>
          <w:rFonts w:hint="eastAsia" w:ascii="宋体" w:hAnsi="宋体" w:eastAsia="宋体"/>
          <w:highlight w:val="none"/>
        </w:rPr>
        <w:t>需要补充的其他内容：见投标人须知前附表。</w:t>
      </w:r>
    </w:p>
    <w:p w14:paraId="7EF404CC">
      <w:pPr>
        <w:widowControl/>
        <w:jc w:val="left"/>
        <w:rPr>
          <w:rFonts w:ascii="宋体" w:hAnsi="宋体" w:eastAsia="宋体"/>
          <w:highlight w:val="none"/>
        </w:rPr>
      </w:pPr>
      <w:r>
        <w:rPr>
          <w:rFonts w:ascii="宋体" w:hAnsi="宋体" w:eastAsia="宋体"/>
          <w:highlight w:val="none"/>
        </w:rPr>
        <w:br w:type="page"/>
      </w:r>
    </w:p>
    <w:p w14:paraId="56F1E49E">
      <w:pPr>
        <w:spacing w:line="360" w:lineRule="auto"/>
        <w:ind w:firstLine="420" w:firstLineChars="200"/>
        <w:rPr>
          <w:rFonts w:ascii="宋体" w:hAnsi="宋体" w:eastAsia="宋体"/>
          <w:highlight w:val="none"/>
        </w:rPr>
        <w:sectPr>
          <w:pgSz w:w="11906" w:h="16838"/>
          <w:pgMar w:top="1440" w:right="1800" w:bottom="1440" w:left="1800" w:header="0" w:footer="721" w:gutter="0"/>
          <w:cols w:space="720" w:num="1"/>
        </w:sectPr>
      </w:pPr>
    </w:p>
    <w:p w14:paraId="11B7C612">
      <w:pPr>
        <w:pStyle w:val="3"/>
        <w:rPr>
          <w:color w:val="auto"/>
          <w:highlight w:val="none"/>
        </w:rPr>
      </w:pPr>
      <w:bookmarkStart w:id="266" w:name="_Toc352691487"/>
      <w:bookmarkEnd w:id="266"/>
      <w:bookmarkStart w:id="267" w:name="_Toc247513967"/>
      <w:bookmarkEnd w:id="267"/>
      <w:bookmarkStart w:id="268" w:name="_Toc15242"/>
      <w:bookmarkEnd w:id="268"/>
      <w:bookmarkStart w:id="269" w:name="_Toc369531530"/>
      <w:bookmarkEnd w:id="269"/>
      <w:bookmarkStart w:id="270" w:name="_Toc300834964"/>
      <w:bookmarkEnd w:id="270"/>
      <w:bookmarkStart w:id="271" w:name="_Toc152042319"/>
      <w:bookmarkEnd w:id="271"/>
      <w:bookmarkStart w:id="272" w:name="_Toc247527568"/>
      <w:bookmarkEnd w:id="272"/>
      <w:bookmarkStart w:id="273" w:name="_Toc361508599"/>
      <w:bookmarkEnd w:id="273"/>
      <w:bookmarkStart w:id="274" w:name="_Toc144974511"/>
      <w:bookmarkEnd w:id="274"/>
      <w:bookmarkStart w:id="275" w:name="_Toc384308224"/>
      <w:bookmarkEnd w:id="275"/>
      <w:bookmarkStart w:id="276" w:name="_Toc152045543"/>
      <w:bookmarkEnd w:id="276"/>
      <w:bookmarkStart w:id="277" w:name="_Toc6411"/>
      <w:bookmarkStart w:id="278" w:name="_Toc51055766"/>
      <w:bookmarkStart w:id="279" w:name="_Toc45266448"/>
      <w:r>
        <w:rPr>
          <w:rFonts w:hint="eastAsia"/>
          <w:color w:val="auto"/>
          <w:highlight w:val="none"/>
        </w:rPr>
        <w:t>附件一：开标记录表</w:t>
      </w:r>
      <w:bookmarkEnd w:id="277"/>
      <w:bookmarkEnd w:id="278"/>
      <w:bookmarkEnd w:id="279"/>
    </w:p>
    <w:p w14:paraId="1B235486">
      <w:pPr>
        <w:spacing w:line="440" w:lineRule="exact"/>
        <w:jc w:val="center"/>
        <w:rPr>
          <w:rFonts w:ascii="宋体" w:hAnsi="宋体" w:eastAsia="宋体"/>
          <w:sz w:val="28"/>
          <w:szCs w:val="28"/>
          <w:highlight w:val="none"/>
        </w:rPr>
      </w:pPr>
      <w:r>
        <w:rPr>
          <w:rFonts w:hint="eastAsia" w:ascii="宋体" w:hAnsi="宋体" w:eastAsia="宋体"/>
          <w:sz w:val="28"/>
          <w:szCs w:val="28"/>
          <w:highlight w:val="none"/>
        </w:rPr>
        <w:t>开标记录表</w:t>
      </w:r>
    </w:p>
    <w:p w14:paraId="790A6D29">
      <w:pPr>
        <w:spacing w:before="120" w:beforeLines="50" w:after="120" w:afterLines="50" w:line="400" w:lineRule="exact"/>
        <w:ind w:right="420"/>
        <w:jc w:val="left"/>
        <w:rPr>
          <w:rFonts w:ascii="宋体" w:hAnsi="宋体" w:eastAsia="宋体"/>
          <w:highlight w:val="none"/>
        </w:rPr>
      </w:pPr>
      <w:r>
        <w:rPr>
          <w:rFonts w:hint="eastAsia" w:ascii="宋体" w:hAnsi="宋体" w:eastAsia="宋体"/>
          <w:highlight w:val="none"/>
        </w:rPr>
        <w:t>开标时间：</w:t>
      </w:r>
      <w:r>
        <w:rPr>
          <w:rFonts w:ascii="宋体" w:hAnsi="宋体" w:eastAsia="宋体"/>
          <w:highlight w:val="none"/>
        </w:rPr>
        <w:t xml:space="preserve">         </w:t>
      </w:r>
      <w:r>
        <w:rPr>
          <w:rFonts w:hint="eastAsia" w:ascii="宋体" w:hAnsi="宋体" w:eastAsia="宋体"/>
          <w:highlight w:val="none"/>
        </w:rPr>
        <w:t>年</w:t>
      </w:r>
      <w:r>
        <w:rPr>
          <w:rFonts w:ascii="宋体" w:hAnsi="宋体" w:eastAsia="宋体"/>
          <w:highlight w:val="none"/>
        </w:rPr>
        <w:t xml:space="preserve">         </w:t>
      </w:r>
      <w:r>
        <w:rPr>
          <w:rFonts w:hint="eastAsia" w:ascii="宋体" w:hAnsi="宋体" w:eastAsia="宋体"/>
          <w:highlight w:val="none"/>
        </w:rPr>
        <w:t>月</w:t>
      </w:r>
      <w:r>
        <w:rPr>
          <w:rFonts w:ascii="宋体" w:hAnsi="宋体" w:eastAsia="宋体"/>
          <w:highlight w:val="none"/>
        </w:rPr>
        <w:t xml:space="preserve">         </w:t>
      </w:r>
      <w:r>
        <w:rPr>
          <w:rFonts w:hint="eastAsia" w:ascii="宋体" w:hAnsi="宋体" w:eastAsia="宋体"/>
          <w:highlight w:val="none"/>
        </w:rPr>
        <w:t>日</w:t>
      </w:r>
      <w:r>
        <w:rPr>
          <w:rFonts w:ascii="宋体" w:hAnsi="宋体" w:eastAsia="宋体"/>
          <w:highlight w:val="none"/>
        </w:rPr>
        <w:t xml:space="preserve">         </w:t>
      </w:r>
      <w:r>
        <w:rPr>
          <w:rFonts w:hint="eastAsia" w:ascii="宋体" w:hAnsi="宋体" w:eastAsia="宋体"/>
          <w:highlight w:val="none"/>
        </w:rPr>
        <w:t>时</w:t>
      </w:r>
      <w:r>
        <w:rPr>
          <w:rFonts w:ascii="宋体" w:hAnsi="宋体" w:eastAsia="宋体"/>
          <w:highlight w:val="none"/>
        </w:rPr>
        <w:t xml:space="preserve">         </w:t>
      </w:r>
      <w:r>
        <w:rPr>
          <w:rFonts w:hint="eastAsia" w:ascii="宋体" w:hAnsi="宋体" w:eastAsia="宋体"/>
          <w:highlight w:val="none"/>
        </w:rPr>
        <w:t>分</w:t>
      </w:r>
    </w:p>
    <w:tbl>
      <w:tblPr>
        <w:tblStyle w:val="28"/>
        <w:tblW w:w="5553" w:type="pct"/>
        <w:tblInd w:w="0" w:type="dxa"/>
        <w:tblLayout w:type="fixed"/>
        <w:tblCellMar>
          <w:top w:w="0" w:type="dxa"/>
          <w:left w:w="108" w:type="dxa"/>
          <w:bottom w:w="0" w:type="dxa"/>
          <w:right w:w="108" w:type="dxa"/>
        </w:tblCellMar>
      </w:tblPr>
      <w:tblGrid>
        <w:gridCol w:w="698"/>
        <w:gridCol w:w="1175"/>
        <w:gridCol w:w="1276"/>
        <w:gridCol w:w="1439"/>
        <w:gridCol w:w="1757"/>
        <w:gridCol w:w="852"/>
        <w:gridCol w:w="2268"/>
      </w:tblGrid>
      <w:tr w14:paraId="553F95B4">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vAlign w:val="center"/>
          </w:tcPr>
          <w:p w14:paraId="2B8B7F2D">
            <w:pPr>
              <w:jc w:val="center"/>
              <w:rPr>
                <w:rFonts w:ascii="宋体" w:hAnsi="宋体" w:eastAsia="宋体"/>
                <w:highlight w:val="none"/>
              </w:rPr>
            </w:pPr>
            <w:r>
              <w:rPr>
                <w:rFonts w:hint="eastAsia" w:ascii="宋体" w:hAnsi="宋体" w:eastAsia="宋体"/>
                <w:highlight w:val="none"/>
              </w:rPr>
              <w:t>序号</w:t>
            </w:r>
          </w:p>
        </w:tc>
        <w:tc>
          <w:tcPr>
            <w:tcW w:w="621" w:type="pct"/>
            <w:tcBorders>
              <w:top w:val="single" w:color="auto" w:sz="4" w:space="0"/>
              <w:left w:val="single" w:color="auto" w:sz="4" w:space="0"/>
              <w:bottom w:val="single" w:color="auto" w:sz="4" w:space="0"/>
              <w:right w:val="single" w:color="auto" w:sz="4" w:space="0"/>
            </w:tcBorders>
            <w:vAlign w:val="center"/>
          </w:tcPr>
          <w:p w14:paraId="71609569">
            <w:pPr>
              <w:jc w:val="center"/>
              <w:rPr>
                <w:rFonts w:ascii="宋体" w:hAnsi="宋体" w:eastAsia="宋体"/>
                <w:highlight w:val="none"/>
              </w:rPr>
            </w:pPr>
            <w:r>
              <w:rPr>
                <w:rFonts w:hint="eastAsia" w:ascii="宋体" w:hAnsi="宋体" w:eastAsia="宋体"/>
                <w:highlight w:val="none"/>
              </w:rPr>
              <w:t>投标人</w:t>
            </w:r>
          </w:p>
        </w:tc>
        <w:tc>
          <w:tcPr>
            <w:tcW w:w="674" w:type="pct"/>
            <w:tcBorders>
              <w:top w:val="single" w:color="auto" w:sz="4" w:space="0"/>
              <w:left w:val="single" w:color="auto" w:sz="4" w:space="0"/>
              <w:bottom w:val="single" w:color="auto" w:sz="4" w:space="0"/>
              <w:right w:val="single" w:color="auto" w:sz="4" w:space="0"/>
            </w:tcBorders>
            <w:vAlign w:val="center"/>
          </w:tcPr>
          <w:p w14:paraId="71210783">
            <w:pPr>
              <w:jc w:val="center"/>
              <w:rPr>
                <w:rFonts w:ascii="宋体" w:hAnsi="宋体" w:eastAsia="宋体"/>
                <w:highlight w:val="none"/>
              </w:rPr>
            </w:pPr>
            <w:r>
              <w:rPr>
                <w:rFonts w:hint="eastAsia" w:ascii="宋体" w:hAnsi="宋体" w:eastAsia="宋体"/>
                <w:highlight w:val="none"/>
              </w:rPr>
              <w:t>投标报价</w:t>
            </w:r>
          </w:p>
          <w:p w14:paraId="14753F92">
            <w:pPr>
              <w:jc w:val="center"/>
              <w:rPr>
                <w:rFonts w:ascii="宋体" w:hAnsi="宋体" w:eastAsia="宋体"/>
                <w:highlight w:val="none"/>
              </w:rPr>
            </w:pPr>
            <w:r>
              <w:rPr>
                <w:rFonts w:hint="eastAsia" w:ascii="宋体" w:hAnsi="宋体" w:eastAsia="宋体"/>
                <w:highlight w:val="none"/>
              </w:rPr>
              <w:t>（元）</w:t>
            </w:r>
          </w:p>
        </w:tc>
        <w:tc>
          <w:tcPr>
            <w:tcW w:w="760" w:type="pct"/>
            <w:tcBorders>
              <w:top w:val="single" w:color="auto" w:sz="4" w:space="0"/>
              <w:left w:val="single" w:color="auto" w:sz="4" w:space="0"/>
              <w:bottom w:val="single" w:color="auto" w:sz="4" w:space="0"/>
              <w:right w:val="single" w:color="auto" w:sz="4" w:space="0"/>
            </w:tcBorders>
            <w:vAlign w:val="center"/>
          </w:tcPr>
          <w:p w14:paraId="2CBA81C0">
            <w:pPr>
              <w:jc w:val="center"/>
              <w:rPr>
                <w:rFonts w:ascii="宋体" w:hAnsi="宋体" w:eastAsia="宋体"/>
                <w:highlight w:val="none"/>
              </w:rPr>
            </w:pPr>
            <w:r>
              <w:rPr>
                <w:rFonts w:hint="eastAsia" w:ascii="宋体" w:hAnsi="宋体" w:eastAsia="宋体"/>
                <w:highlight w:val="none"/>
              </w:rPr>
              <w:t>项目负责人</w:t>
            </w:r>
          </w:p>
        </w:tc>
        <w:tc>
          <w:tcPr>
            <w:tcW w:w="928" w:type="pct"/>
            <w:tcBorders>
              <w:top w:val="single" w:color="auto" w:sz="4" w:space="0"/>
              <w:left w:val="single" w:color="auto" w:sz="4" w:space="0"/>
              <w:bottom w:val="single" w:color="auto" w:sz="4" w:space="0"/>
              <w:right w:val="single" w:color="auto" w:sz="4" w:space="0"/>
            </w:tcBorders>
            <w:vAlign w:val="center"/>
          </w:tcPr>
          <w:p w14:paraId="19D149B4">
            <w:pPr>
              <w:jc w:val="center"/>
              <w:rPr>
                <w:rFonts w:ascii="宋体" w:hAnsi="宋体" w:eastAsia="宋体"/>
                <w:highlight w:val="none"/>
              </w:rPr>
            </w:pPr>
            <w:r>
              <w:rPr>
                <w:rFonts w:hint="eastAsia" w:ascii="宋体" w:hAnsi="宋体" w:eastAsia="宋体"/>
                <w:highlight w:val="none"/>
              </w:rPr>
              <w:t>服务期限</w:t>
            </w:r>
          </w:p>
        </w:tc>
        <w:tc>
          <w:tcPr>
            <w:tcW w:w="450" w:type="pct"/>
            <w:tcBorders>
              <w:top w:val="single" w:color="auto" w:sz="4" w:space="0"/>
              <w:left w:val="single" w:color="auto" w:sz="4" w:space="0"/>
              <w:bottom w:val="single" w:color="auto" w:sz="4" w:space="0"/>
              <w:right w:val="single" w:color="auto" w:sz="4" w:space="0"/>
            </w:tcBorders>
            <w:vAlign w:val="center"/>
          </w:tcPr>
          <w:p w14:paraId="106E41EC">
            <w:pPr>
              <w:jc w:val="center"/>
              <w:rPr>
                <w:rFonts w:ascii="宋体" w:hAnsi="宋体" w:eastAsia="宋体"/>
                <w:highlight w:val="none"/>
              </w:rPr>
            </w:pPr>
            <w:r>
              <w:rPr>
                <w:rFonts w:hint="eastAsia" w:ascii="宋体" w:hAnsi="宋体" w:eastAsia="宋体"/>
                <w:highlight w:val="none"/>
              </w:rPr>
              <w:t>备注</w:t>
            </w:r>
          </w:p>
        </w:tc>
        <w:tc>
          <w:tcPr>
            <w:tcW w:w="1198" w:type="pct"/>
            <w:tcBorders>
              <w:top w:val="single" w:color="auto" w:sz="4" w:space="0"/>
              <w:left w:val="single" w:color="auto" w:sz="4" w:space="0"/>
              <w:bottom w:val="single" w:color="auto" w:sz="4" w:space="0"/>
              <w:right w:val="single" w:color="auto" w:sz="4" w:space="0"/>
            </w:tcBorders>
            <w:vAlign w:val="center"/>
          </w:tcPr>
          <w:p w14:paraId="4EE65AE6">
            <w:pPr>
              <w:jc w:val="center"/>
              <w:rPr>
                <w:rFonts w:ascii="宋体" w:hAnsi="宋体" w:eastAsia="宋体"/>
                <w:highlight w:val="none"/>
              </w:rPr>
            </w:pPr>
            <w:r>
              <w:rPr>
                <w:rFonts w:hint="eastAsia" w:ascii="宋体" w:hAnsi="宋体" w:eastAsia="宋体"/>
                <w:highlight w:val="none"/>
              </w:rPr>
              <w:t>投标人代表签名</w:t>
            </w:r>
          </w:p>
        </w:tc>
      </w:tr>
      <w:tr w14:paraId="067866BA">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14779564">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7EB2EFFD">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1340E2E8">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3EEEE34F">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36C82CA3">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5A9E3B5A">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34E5C8D2">
            <w:pPr>
              <w:spacing w:line="500" w:lineRule="exact"/>
              <w:jc w:val="left"/>
              <w:rPr>
                <w:rFonts w:ascii="宋体" w:hAnsi="宋体" w:eastAsia="宋体"/>
                <w:highlight w:val="none"/>
              </w:rPr>
            </w:pPr>
          </w:p>
        </w:tc>
      </w:tr>
      <w:tr w14:paraId="36D4378C">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038237CF">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631E4A13">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5AD6C683">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38804C4E">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41938354">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3EDC9E4F">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79AB8883">
            <w:pPr>
              <w:spacing w:line="500" w:lineRule="exact"/>
              <w:jc w:val="left"/>
              <w:rPr>
                <w:rFonts w:ascii="宋体" w:hAnsi="宋体" w:eastAsia="宋体"/>
                <w:highlight w:val="none"/>
              </w:rPr>
            </w:pPr>
          </w:p>
        </w:tc>
      </w:tr>
      <w:tr w14:paraId="3D452CAD">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4987278B">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1B5E20A0">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1CD5559B">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2F845D79">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5F05D468">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291258E3">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78DECD8C">
            <w:pPr>
              <w:spacing w:line="500" w:lineRule="exact"/>
              <w:jc w:val="left"/>
              <w:rPr>
                <w:rFonts w:ascii="宋体" w:hAnsi="宋体" w:eastAsia="宋体"/>
                <w:highlight w:val="none"/>
              </w:rPr>
            </w:pPr>
          </w:p>
        </w:tc>
      </w:tr>
      <w:tr w14:paraId="46AB6238">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167618B6">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498352EB">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32767ADC">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14334D49">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0590141F">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29134C01">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1FC05F91">
            <w:pPr>
              <w:spacing w:line="500" w:lineRule="exact"/>
              <w:jc w:val="left"/>
              <w:rPr>
                <w:rFonts w:ascii="宋体" w:hAnsi="宋体" w:eastAsia="宋体"/>
                <w:highlight w:val="none"/>
              </w:rPr>
            </w:pPr>
          </w:p>
        </w:tc>
      </w:tr>
      <w:tr w14:paraId="5FC071E9">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741742B2">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22076FCD">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7E2F0900">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5835E983">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53CA1D97">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4A44F0BB">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20052613">
            <w:pPr>
              <w:spacing w:line="500" w:lineRule="exact"/>
              <w:jc w:val="left"/>
              <w:rPr>
                <w:rFonts w:ascii="宋体" w:hAnsi="宋体" w:eastAsia="宋体"/>
                <w:highlight w:val="none"/>
              </w:rPr>
            </w:pPr>
          </w:p>
        </w:tc>
      </w:tr>
      <w:tr w14:paraId="50C1F791">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0E51700E">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306CB535">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68446CBF">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2778525E">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3A752AB9">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5C368D61">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7704BF76">
            <w:pPr>
              <w:spacing w:line="500" w:lineRule="exact"/>
              <w:jc w:val="left"/>
              <w:rPr>
                <w:rFonts w:ascii="宋体" w:hAnsi="宋体" w:eastAsia="宋体"/>
                <w:highlight w:val="none"/>
              </w:rPr>
            </w:pPr>
          </w:p>
        </w:tc>
      </w:tr>
      <w:tr w14:paraId="0CD83E24">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37009CE3">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3878C7A5">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287FFE33">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3FB0269B">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2658590F">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5D1E424C">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2734F56A">
            <w:pPr>
              <w:spacing w:line="500" w:lineRule="exact"/>
              <w:jc w:val="left"/>
              <w:rPr>
                <w:rFonts w:ascii="宋体" w:hAnsi="宋体" w:eastAsia="宋体"/>
                <w:highlight w:val="none"/>
              </w:rPr>
            </w:pPr>
          </w:p>
        </w:tc>
      </w:tr>
      <w:tr w14:paraId="5DF57603">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25172EF6">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38467054">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7DB662D9">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334E6998">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05C4D111">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5624F135">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5B038F60">
            <w:pPr>
              <w:spacing w:line="500" w:lineRule="exact"/>
              <w:jc w:val="left"/>
              <w:rPr>
                <w:rFonts w:ascii="宋体" w:hAnsi="宋体" w:eastAsia="宋体"/>
                <w:highlight w:val="none"/>
              </w:rPr>
            </w:pPr>
          </w:p>
        </w:tc>
      </w:tr>
      <w:tr w14:paraId="4A3B3510">
        <w:tblPrEx>
          <w:tblCellMar>
            <w:top w:w="0" w:type="dxa"/>
            <w:left w:w="108" w:type="dxa"/>
            <w:bottom w:w="0" w:type="dxa"/>
            <w:right w:w="108" w:type="dxa"/>
          </w:tblCellMar>
        </w:tblPrEx>
        <w:trPr>
          <w:trHeight w:val="502" w:hRule="atLeast"/>
        </w:trPr>
        <w:tc>
          <w:tcPr>
            <w:tcW w:w="369" w:type="pct"/>
            <w:tcBorders>
              <w:top w:val="single" w:color="auto" w:sz="4" w:space="0"/>
              <w:left w:val="single" w:color="auto" w:sz="4" w:space="0"/>
              <w:bottom w:val="single" w:color="auto" w:sz="4" w:space="0"/>
              <w:right w:val="single" w:color="auto" w:sz="4" w:space="0"/>
            </w:tcBorders>
          </w:tcPr>
          <w:p w14:paraId="2F0B36E6">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5D5A9FCE">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0F1FA2F9">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5F864D44">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6E4F70EE">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5E0371D3">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1E9B8EDA">
            <w:pPr>
              <w:spacing w:line="500" w:lineRule="exact"/>
              <w:jc w:val="left"/>
              <w:rPr>
                <w:rFonts w:ascii="宋体" w:hAnsi="宋体" w:eastAsia="宋体"/>
                <w:highlight w:val="none"/>
              </w:rPr>
            </w:pPr>
          </w:p>
        </w:tc>
      </w:tr>
    </w:tbl>
    <w:p w14:paraId="53B1F7E6">
      <w:pPr>
        <w:spacing w:line="440" w:lineRule="exact"/>
        <w:rPr>
          <w:rFonts w:ascii="宋体" w:hAnsi="宋体" w:eastAsia="宋体"/>
          <w:highlight w:val="none"/>
        </w:rPr>
      </w:pPr>
      <w:r>
        <w:rPr>
          <w:rFonts w:hint="eastAsia" w:ascii="宋体" w:hAnsi="宋体" w:eastAsia="宋体"/>
          <w:highlight w:val="none"/>
        </w:rPr>
        <w:t>　　　招标人代表：</w:t>
      </w:r>
      <w:r>
        <w:rPr>
          <w:rFonts w:ascii="宋体" w:hAnsi="宋体" w:eastAsia="宋体"/>
          <w:highlight w:val="none"/>
        </w:rPr>
        <w:t xml:space="preserve">               记录人：              监标人：       </w:t>
      </w:r>
    </w:p>
    <w:p w14:paraId="5977F239">
      <w:pPr>
        <w:spacing w:line="620" w:lineRule="exact"/>
        <w:jc w:val="right"/>
        <w:rPr>
          <w:rFonts w:ascii="宋体" w:hAnsi="宋体" w:eastAsia="宋体"/>
          <w:highlight w:val="none"/>
        </w:rPr>
      </w:pPr>
      <w:r>
        <w:rPr>
          <w:rFonts w:ascii="宋体" w:hAnsi="宋体" w:eastAsia="宋体"/>
          <w:highlight w:val="none"/>
        </w:rPr>
        <w:t xml:space="preserve">       年       月       日</w:t>
      </w:r>
    </w:p>
    <w:p w14:paraId="0194A419">
      <w:pPr>
        <w:widowControl/>
        <w:jc w:val="left"/>
        <w:rPr>
          <w:rFonts w:ascii="宋体" w:hAnsi="宋体" w:eastAsia="宋体"/>
          <w:highlight w:val="none"/>
        </w:rPr>
      </w:pPr>
      <w:r>
        <w:rPr>
          <w:rFonts w:ascii="宋体" w:hAnsi="宋体" w:eastAsia="宋体"/>
          <w:highlight w:val="none"/>
        </w:rPr>
        <w:br w:type="page"/>
      </w:r>
    </w:p>
    <w:p w14:paraId="41E88009">
      <w:pPr>
        <w:pStyle w:val="3"/>
        <w:rPr>
          <w:color w:val="auto"/>
          <w:highlight w:val="none"/>
        </w:rPr>
      </w:pPr>
      <w:bookmarkStart w:id="280" w:name="_Toc51055767"/>
      <w:bookmarkStart w:id="281" w:name="_Toc12243"/>
      <w:bookmarkStart w:id="282" w:name="_Toc45266449"/>
      <w:r>
        <w:rPr>
          <w:rFonts w:hint="eastAsia"/>
          <w:color w:val="auto"/>
          <w:highlight w:val="none"/>
        </w:rPr>
        <w:t>附件二：问题澄清通知</w:t>
      </w:r>
      <w:bookmarkEnd w:id="280"/>
      <w:bookmarkEnd w:id="281"/>
      <w:bookmarkEnd w:id="282"/>
    </w:p>
    <w:p w14:paraId="57E1E35D">
      <w:pPr>
        <w:spacing w:line="360" w:lineRule="auto"/>
        <w:ind w:right="-20"/>
        <w:jc w:val="center"/>
        <w:rPr>
          <w:rFonts w:ascii="宋体" w:hAnsi="宋体" w:eastAsia="宋体" w:cs="宋体"/>
          <w:sz w:val="24"/>
          <w:szCs w:val="24"/>
          <w:highlight w:val="none"/>
        </w:rPr>
      </w:pPr>
      <w:r>
        <w:rPr>
          <w:rFonts w:hint="eastAsia" w:ascii="宋体" w:hAnsi="宋体" w:eastAsia="宋体" w:cs="宋体"/>
          <w:sz w:val="24"/>
          <w:szCs w:val="24"/>
          <w:highlight w:val="none"/>
        </w:rPr>
        <w:t>问题澄</w:t>
      </w:r>
      <w:r>
        <w:rPr>
          <w:rFonts w:hint="eastAsia" w:ascii="宋体" w:hAnsi="宋体" w:eastAsia="宋体" w:cs="宋体"/>
          <w:spacing w:val="-3"/>
          <w:sz w:val="24"/>
          <w:szCs w:val="24"/>
          <w:highlight w:val="none"/>
        </w:rPr>
        <w:t>清</w:t>
      </w:r>
      <w:r>
        <w:rPr>
          <w:rFonts w:hint="eastAsia" w:ascii="宋体" w:hAnsi="宋体" w:eastAsia="宋体" w:cs="宋体"/>
          <w:sz w:val="24"/>
          <w:szCs w:val="24"/>
          <w:highlight w:val="none"/>
        </w:rPr>
        <w:t>通知</w:t>
      </w:r>
    </w:p>
    <w:p w14:paraId="0D27A796">
      <w:pPr>
        <w:tabs>
          <w:tab w:val="left" w:pos="5740"/>
        </w:tabs>
        <w:spacing w:before="62" w:line="360" w:lineRule="auto"/>
        <w:ind w:left="2808" w:right="2811"/>
        <w:jc w:val="center"/>
        <w:rPr>
          <w:rFonts w:ascii="宋体" w:hAnsi="宋体" w:eastAsia="宋体" w:cs="宋体"/>
          <w:position w:val="-4"/>
          <w:sz w:val="24"/>
          <w:szCs w:val="24"/>
          <w:highlight w:val="none"/>
        </w:rPr>
      </w:pPr>
      <w:r>
        <w:rPr>
          <w:rFonts w:hint="eastAsia" w:ascii="宋体" w:hAnsi="宋体" w:eastAsia="宋体" w:cs="宋体"/>
          <w:position w:val="-4"/>
          <w:sz w:val="24"/>
          <w:szCs w:val="24"/>
          <w:highlight w:val="none"/>
        </w:rPr>
        <w:t>（编</w:t>
      </w:r>
      <w:r>
        <w:rPr>
          <w:rFonts w:hint="eastAsia" w:ascii="宋体" w:hAnsi="宋体" w:eastAsia="宋体" w:cs="宋体"/>
          <w:spacing w:val="-2"/>
          <w:position w:val="-4"/>
          <w:sz w:val="24"/>
          <w:szCs w:val="24"/>
          <w:highlight w:val="none"/>
        </w:rPr>
        <w:t>号</w:t>
      </w:r>
      <w:r>
        <w:rPr>
          <w:rFonts w:hint="eastAsia" w:ascii="宋体" w:hAnsi="宋体" w:eastAsia="宋体" w:cs="宋体"/>
          <w:position w:val="-4"/>
          <w:sz w:val="24"/>
          <w:szCs w:val="24"/>
          <w:highlight w:val="none"/>
        </w:rPr>
        <w:t>：</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hint="eastAsia" w:ascii="宋体" w:hAnsi="宋体" w:eastAsia="宋体" w:cs="宋体"/>
          <w:position w:val="-4"/>
          <w:sz w:val="24"/>
          <w:szCs w:val="24"/>
          <w:highlight w:val="none"/>
        </w:rPr>
        <w:t>）</w:t>
      </w:r>
    </w:p>
    <w:p w14:paraId="22664DA1">
      <w:pPr>
        <w:tabs>
          <w:tab w:val="left" w:pos="2300"/>
        </w:tabs>
        <w:spacing w:line="360" w:lineRule="auto"/>
        <w:ind w:left="100" w:right="-20"/>
        <w:rPr>
          <w:rFonts w:ascii="宋体" w:hAnsi="宋体" w:eastAsia="宋体" w:cs="宋体"/>
          <w:sz w:val="24"/>
          <w:szCs w:val="24"/>
          <w:highlight w:val="none"/>
        </w:rPr>
      </w:pPr>
      <w:r>
        <w:rPr>
          <w:rFonts w:ascii="宋体" w:hAnsi="宋体" w:eastAsia="宋体" w:cs="宋体"/>
          <w:w w:val="20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spacing w:val="-2"/>
          <w:position w:val="-2"/>
          <w:sz w:val="24"/>
          <w:szCs w:val="24"/>
          <w:highlight w:val="none"/>
        </w:rPr>
        <w:t>（</w:t>
      </w:r>
      <w:r>
        <w:rPr>
          <w:rFonts w:hint="eastAsia" w:ascii="宋体" w:hAnsi="宋体" w:eastAsia="宋体" w:cs="宋体"/>
          <w:position w:val="-2"/>
          <w:sz w:val="24"/>
          <w:szCs w:val="24"/>
          <w:highlight w:val="none"/>
        </w:rPr>
        <w:t>投标</w:t>
      </w:r>
      <w:r>
        <w:rPr>
          <w:rFonts w:hint="eastAsia" w:ascii="宋体" w:hAnsi="宋体" w:eastAsia="宋体" w:cs="宋体"/>
          <w:spacing w:val="-2"/>
          <w:position w:val="-2"/>
          <w:sz w:val="24"/>
          <w:szCs w:val="24"/>
          <w:highlight w:val="none"/>
        </w:rPr>
        <w:t>人</w:t>
      </w:r>
      <w:r>
        <w:rPr>
          <w:rFonts w:hint="eastAsia" w:ascii="宋体" w:hAnsi="宋体" w:eastAsia="宋体" w:cs="宋体"/>
          <w:position w:val="-2"/>
          <w:sz w:val="24"/>
          <w:szCs w:val="24"/>
          <w:highlight w:val="none"/>
        </w:rPr>
        <w:t>名</w:t>
      </w:r>
      <w:r>
        <w:rPr>
          <w:rFonts w:hint="eastAsia" w:ascii="宋体" w:hAnsi="宋体" w:eastAsia="宋体" w:cs="宋体"/>
          <w:spacing w:val="-2"/>
          <w:position w:val="-2"/>
          <w:sz w:val="24"/>
          <w:szCs w:val="24"/>
          <w:highlight w:val="none"/>
        </w:rPr>
        <w:t>称</w:t>
      </w:r>
      <w:r>
        <w:rPr>
          <w:rFonts w:hint="eastAsia" w:ascii="宋体" w:hAnsi="宋体" w:eastAsia="宋体" w:cs="宋体"/>
          <w:spacing w:val="-106"/>
          <w:position w:val="-2"/>
          <w:sz w:val="24"/>
          <w:szCs w:val="24"/>
          <w:highlight w:val="none"/>
        </w:rPr>
        <w:t>）</w:t>
      </w:r>
      <w:r>
        <w:rPr>
          <w:rFonts w:hint="eastAsia" w:ascii="宋体" w:hAnsi="宋体" w:eastAsia="宋体" w:cs="宋体"/>
          <w:position w:val="-2"/>
          <w:sz w:val="24"/>
          <w:szCs w:val="24"/>
          <w:highlight w:val="none"/>
        </w:rPr>
        <w:t>：</w:t>
      </w:r>
    </w:p>
    <w:p w14:paraId="56ED246E">
      <w:pPr>
        <w:spacing w:line="360" w:lineRule="auto"/>
        <w:ind w:left="523" w:right="-20"/>
        <w:rPr>
          <w:rFonts w:ascii="宋体" w:hAnsi="宋体" w:eastAsia="宋体" w:cs="宋体"/>
          <w:sz w:val="24"/>
          <w:szCs w:val="24"/>
          <w:highlight w:val="none"/>
        </w:rPr>
      </w:pPr>
      <w:r>
        <w:rPr>
          <w:rFonts w:hint="eastAsia" w:ascii="宋体" w:hAnsi="宋体" w:eastAsia="宋体" w:cs="宋体"/>
          <w:position w:val="-1"/>
          <w:sz w:val="24"/>
          <w:szCs w:val="24"/>
          <w:highlight w:val="none"/>
        </w:rPr>
        <w:t>评标委员会</w:t>
      </w:r>
      <w:r>
        <w:rPr>
          <w:rFonts w:hint="eastAsia" w:ascii="宋体" w:hAnsi="宋体" w:eastAsia="宋体" w:cs="宋体"/>
          <w:spacing w:val="-2"/>
          <w:position w:val="-1"/>
          <w:sz w:val="24"/>
          <w:szCs w:val="24"/>
          <w:highlight w:val="none"/>
        </w:rPr>
        <w:t>对</w:t>
      </w:r>
      <w:r>
        <w:rPr>
          <w:rFonts w:hint="eastAsia" w:ascii="宋体" w:hAnsi="宋体" w:eastAsia="宋体" w:cs="宋体"/>
          <w:position w:val="-1"/>
          <w:sz w:val="24"/>
          <w:szCs w:val="24"/>
          <w:highlight w:val="none"/>
        </w:rPr>
        <w:t>你方</w:t>
      </w:r>
      <w:r>
        <w:rPr>
          <w:rFonts w:hint="eastAsia" w:ascii="宋体" w:hAnsi="宋体" w:eastAsia="宋体" w:cs="宋体"/>
          <w:spacing w:val="-2"/>
          <w:position w:val="-1"/>
          <w:sz w:val="24"/>
          <w:szCs w:val="24"/>
          <w:highlight w:val="none"/>
        </w:rPr>
        <w:t>的</w:t>
      </w:r>
      <w:r>
        <w:rPr>
          <w:rFonts w:hint="eastAsia" w:ascii="宋体" w:hAnsi="宋体" w:eastAsia="宋体" w:cs="宋体"/>
          <w:position w:val="-1"/>
          <w:sz w:val="24"/>
          <w:szCs w:val="24"/>
          <w:highlight w:val="none"/>
        </w:rPr>
        <w:t>投标文件进行了</w:t>
      </w:r>
      <w:r>
        <w:rPr>
          <w:rFonts w:hint="eastAsia" w:ascii="宋体" w:hAnsi="宋体" w:eastAsia="宋体" w:cs="宋体"/>
          <w:spacing w:val="-2"/>
          <w:position w:val="-1"/>
          <w:sz w:val="24"/>
          <w:szCs w:val="24"/>
          <w:highlight w:val="none"/>
        </w:rPr>
        <w:t>仔</w:t>
      </w:r>
      <w:r>
        <w:rPr>
          <w:rFonts w:hint="eastAsia" w:ascii="宋体" w:hAnsi="宋体" w:eastAsia="宋体" w:cs="宋体"/>
          <w:position w:val="-1"/>
          <w:sz w:val="24"/>
          <w:szCs w:val="24"/>
          <w:highlight w:val="none"/>
        </w:rPr>
        <w:t>细的</w:t>
      </w:r>
      <w:r>
        <w:rPr>
          <w:rFonts w:hint="eastAsia" w:ascii="宋体" w:hAnsi="宋体" w:eastAsia="宋体" w:cs="宋体"/>
          <w:spacing w:val="-2"/>
          <w:position w:val="-1"/>
          <w:sz w:val="24"/>
          <w:szCs w:val="24"/>
          <w:highlight w:val="none"/>
        </w:rPr>
        <w:t>审</w:t>
      </w:r>
      <w:r>
        <w:rPr>
          <w:rFonts w:hint="eastAsia" w:ascii="宋体" w:hAnsi="宋体" w:eastAsia="宋体" w:cs="宋体"/>
          <w:position w:val="-1"/>
          <w:sz w:val="24"/>
          <w:szCs w:val="24"/>
          <w:highlight w:val="none"/>
        </w:rPr>
        <w:t>查，现需你方对</w:t>
      </w:r>
      <w:r>
        <w:rPr>
          <w:rFonts w:hint="eastAsia" w:ascii="宋体" w:hAnsi="宋体" w:eastAsia="宋体" w:cs="宋体"/>
          <w:spacing w:val="-2"/>
          <w:position w:val="-1"/>
          <w:sz w:val="24"/>
          <w:szCs w:val="24"/>
          <w:highlight w:val="none"/>
        </w:rPr>
        <w:t>下</w:t>
      </w:r>
      <w:r>
        <w:rPr>
          <w:rFonts w:hint="eastAsia" w:ascii="宋体" w:hAnsi="宋体" w:eastAsia="宋体" w:cs="宋体"/>
          <w:position w:val="-1"/>
          <w:sz w:val="24"/>
          <w:szCs w:val="24"/>
          <w:highlight w:val="none"/>
        </w:rPr>
        <w:t>列问</w:t>
      </w:r>
      <w:r>
        <w:rPr>
          <w:rFonts w:hint="eastAsia" w:ascii="宋体" w:hAnsi="宋体" w:eastAsia="宋体" w:cs="宋体"/>
          <w:spacing w:val="-2"/>
          <w:position w:val="-1"/>
          <w:sz w:val="24"/>
          <w:szCs w:val="24"/>
          <w:highlight w:val="none"/>
        </w:rPr>
        <w:t>题</w:t>
      </w:r>
      <w:r>
        <w:rPr>
          <w:rFonts w:hint="eastAsia" w:ascii="宋体" w:hAnsi="宋体" w:eastAsia="宋体" w:cs="宋体"/>
          <w:position w:val="-1"/>
          <w:sz w:val="24"/>
          <w:szCs w:val="24"/>
          <w:highlight w:val="none"/>
        </w:rPr>
        <w:t>以书面形式予</w:t>
      </w:r>
      <w:r>
        <w:rPr>
          <w:rFonts w:hint="eastAsia" w:ascii="宋体" w:hAnsi="宋体" w:eastAsia="宋体" w:cs="宋体"/>
          <w:spacing w:val="-2"/>
          <w:position w:val="-1"/>
          <w:sz w:val="24"/>
          <w:szCs w:val="24"/>
          <w:highlight w:val="none"/>
        </w:rPr>
        <w:t>以</w:t>
      </w:r>
      <w:r>
        <w:rPr>
          <w:rFonts w:hint="eastAsia" w:ascii="宋体" w:hAnsi="宋体" w:eastAsia="宋体" w:cs="宋体"/>
          <w:position w:val="-1"/>
          <w:sz w:val="24"/>
          <w:szCs w:val="24"/>
          <w:highlight w:val="none"/>
        </w:rPr>
        <w:t>澄</w:t>
      </w:r>
      <w:r>
        <w:rPr>
          <w:rFonts w:hint="eastAsia" w:ascii="宋体" w:hAnsi="宋体" w:eastAsia="宋体" w:cs="宋体"/>
          <w:sz w:val="24"/>
          <w:szCs w:val="24"/>
          <w:highlight w:val="none"/>
        </w:rPr>
        <w:t>清、</w:t>
      </w:r>
      <w:r>
        <w:rPr>
          <w:rFonts w:hint="eastAsia" w:ascii="宋体" w:hAnsi="宋体" w:eastAsia="宋体" w:cs="宋体"/>
          <w:spacing w:val="-2"/>
          <w:sz w:val="24"/>
          <w:szCs w:val="24"/>
          <w:highlight w:val="none"/>
        </w:rPr>
        <w:t>说</w:t>
      </w:r>
      <w:r>
        <w:rPr>
          <w:rFonts w:hint="eastAsia" w:ascii="宋体" w:hAnsi="宋体" w:eastAsia="宋体" w:cs="宋体"/>
          <w:sz w:val="24"/>
          <w:szCs w:val="24"/>
          <w:highlight w:val="none"/>
        </w:rPr>
        <w:t>明</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补</w:t>
      </w:r>
      <w:r>
        <w:rPr>
          <w:rFonts w:hint="eastAsia" w:ascii="宋体" w:hAnsi="宋体" w:eastAsia="宋体" w:cs="宋体"/>
          <w:spacing w:val="-2"/>
          <w:sz w:val="24"/>
          <w:szCs w:val="24"/>
          <w:highlight w:val="none"/>
        </w:rPr>
        <w:t>正</w:t>
      </w:r>
      <w:r>
        <w:rPr>
          <w:rFonts w:hint="eastAsia" w:ascii="宋体" w:hAnsi="宋体" w:eastAsia="宋体" w:cs="宋体"/>
          <w:sz w:val="24"/>
          <w:szCs w:val="24"/>
          <w:highlight w:val="none"/>
        </w:rPr>
        <w:t>：</w:t>
      </w:r>
    </w:p>
    <w:p w14:paraId="52406659">
      <w:pPr>
        <w:spacing w:line="360" w:lineRule="auto"/>
        <w:ind w:left="523" w:right="-20"/>
        <w:rPr>
          <w:rFonts w:ascii="宋体" w:hAnsi="宋体" w:eastAsia="宋体" w:cs="宋体"/>
          <w:sz w:val="24"/>
          <w:szCs w:val="24"/>
          <w:highlight w:val="none"/>
        </w:rPr>
      </w:pPr>
      <w:r>
        <w:rPr>
          <w:rFonts w:ascii="宋体" w:hAnsi="宋体" w:eastAsia="宋体" w:cs="宋体"/>
          <w:sz w:val="24"/>
          <w:szCs w:val="24"/>
          <w:highlight w:val="none"/>
        </w:rPr>
        <w:t>1.</w:t>
      </w:r>
    </w:p>
    <w:p w14:paraId="4660A040">
      <w:pPr>
        <w:spacing w:line="360" w:lineRule="auto"/>
        <w:ind w:left="523" w:right="-20"/>
        <w:rPr>
          <w:rFonts w:ascii="宋体" w:hAnsi="宋体" w:eastAsia="宋体" w:cs="宋体"/>
          <w:sz w:val="24"/>
          <w:szCs w:val="24"/>
          <w:highlight w:val="none"/>
        </w:rPr>
      </w:pPr>
      <w:r>
        <w:rPr>
          <w:rFonts w:ascii="宋体" w:hAnsi="宋体" w:eastAsia="宋体" w:cs="宋体"/>
          <w:sz w:val="24"/>
          <w:szCs w:val="24"/>
          <w:highlight w:val="none"/>
        </w:rPr>
        <w:t>2.</w:t>
      </w:r>
    </w:p>
    <w:p w14:paraId="2AFBDA05">
      <w:pPr>
        <w:spacing w:line="360" w:lineRule="auto"/>
        <w:ind w:left="628" w:right="-20"/>
        <w:rPr>
          <w:rFonts w:ascii="宋体" w:hAnsi="宋体" w:eastAsia="宋体" w:cs="宋体"/>
          <w:sz w:val="24"/>
          <w:szCs w:val="24"/>
          <w:highlight w:val="none"/>
        </w:rPr>
      </w:pPr>
      <w:r>
        <w:rPr>
          <w:rFonts w:ascii="宋体" w:hAnsi="宋体" w:eastAsia="宋体" w:cs="宋体"/>
          <w:sz w:val="24"/>
          <w:szCs w:val="24"/>
          <w:highlight w:val="none"/>
        </w:rPr>
        <w:t>.</w:t>
      </w:r>
      <w:r>
        <w:rPr>
          <w:rFonts w:ascii="宋体" w:hAnsi="宋体" w:eastAsia="宋体" w:cs="宋体"/>
          <w:spacing w:val="-2"/>
          <w:sz w:val="24"/>
          <w:szCs w:val="24"/>
          <w:highlight w:val="none"/>
        </w:rPr>
        <w:t>.</w:t>
      </w:r>
      <w:r>
        <w:rPr>
          <w:rFonts w:ascii="宋体" w:hAnsi="宋体" w:eastAsia="宋体" w:cs="宋体"/>
          <w:sz w:val="24"/>
          <w:szCs w:val="24"/>
          <w:highlight w:val="none"/>
        </w:rPr>
        <w:t>....</w:t>
      </w:r>
    </w:p>
    <w:p w14:paraId="1F0F23FB">
      <w:pPr>
        <w:tabs>
          <w:tab w:val="left" w:pos="4600"/>
          <w:tab w:val="left" w:pos="5540"/>
          <w:tab w:val="left" w:pos="6480"/>
          <w:tab w:val="left" w:pos="7420"/>
        </w:tabs>
        <w:spacing w:line="360" w:lineRule="auto"/>
        <w:ind w:left="506" w:right="-20"/>
        <w:rPr>
          <w:rFonts w:ascii="宋体" w:hAnsi="宋体" w:eastAsia="宋体" w:cs="宋体"/>
          <w:sz w:val="24"/>
          <w:szCs w:val="24"/>
          <w:highlight w:val="none"/>
        </w:rPr>
      </w:pPr>
      <w:r>
        <w:rPr>
          <w:rFonts w:hint="eastAsia" w:ascii="宋体" w:hAnsi="宋体" w:eastAsia="宋体" w:cs="宋体"/>
          <w:position w:val="-4"/>
          <w:sz w:val="24"/>
          <w:szCs w:val="24"/>
          <w:highlight w:val="none"/>
        </w:rPr>
        <w:t>请将</w:t>
      </w:r>
      <w:r>
        <w:rPr>
          <w:rFonts w:hint="eastAsia" w:ascii="宋体" w:hAnsi="宋体" w:eastAsia="宋体" w:cs="宋体"/>
          <w:spacing w:val="-2"/>
          <w:position w:val="-4"/>
          <w:sz w:val="24"/>
          <w:szCs w:val="24"/>
          <w:highlight w:val="none"/>
        </w:rPr>
        <w:t>上</w:t>
      </w:r>
      <w:r>
        <w:rPr>
          <w:rFonts w:hint="eastAsia" w:ascii="宋体" w:hAnsi="宋体" w:eastAsia="宋体" w:cs="宋体"/>
          <w:position w:val="-4"/>
          <w:sz w:val="24"/>
          <w:szCs w:val="24"/>
          <w:highlight w:val="none"/>
        </w:rPr>
        <w:t>述</w:t>
      </w:r>
      <w:r>
        <w:rPr>
          <w:rFonts w:hint="eastAsia" w:ascii="宋体" w:hAnsi="宋体" w:eastAsia="宋体" w:cs="宋体"/>
          <w:spacing w:val="-2"/>
          <w:position w:val="-4"/>
          <w:sz w:val="24"/>
          <w:szCs w:val="24"/>
          <w:highlight w:val="none"/>
        </w:rPr>
        <w:t>问</w:t>
      </w:r>
      <w:r>
        <w:rPr>
          <w:rFonts w:hint="eastAsia" w:ascii="宋体" w:hAnsi="宋体" w:eastAsia="宋体" w:cs="宋体"/>
          <w:position w:val="-4"/>
          <w:sz w:val="24"/>
          <w:szCs w:val="24"/>
          <w:highlight w:val="none"/>
        </w:rPr>
        <w:t>题</w:t>
      </w:r>
      <w:r>
        <w:rPr>
          <w:rFonts w:hint="eastAsia" w:ascii="宋体" w:hAnsi="宋体" w:eastAsia="宋体" w:cs="宋体"/>
          <w:spacing w:val="-2"/>
          <w:position w:val="-4"/>
          <w:sz w:val="24"/>
          <w:szCs w:val="24"/>
          <w:highlight w:val="none"/>
        </w:rPr>
        <w:t>的</w:t>
      </w:r>
      <w:r>
        <w:rPr>
          <w:rFonts w:hint="eastAsia" w:ascii="宋体" w:hAnsi="宋体" w:eastAsia="宋体" w:cs="宋体"/>
          <w:position w:val="-4"/>
          <w:sz w:val="24"/>
          <w:szCs w:val="24"/>
          <w:highlight w:val="none"/>
        </w:rPr>
        <w:t>澄</w:t>
      </w:r>
      <w:r>
        <w:rPr>
          <w:rFonts w:hint="eastAsia" w:ascii="宋体" w:hAnsi="宋体" w:eastAsia="宋体" w:cs="宋体"/>
          <w:spacing w:val="-2"/>
          <w:position w:val="-4"/>
          <w:sz w:val="24"/>
          <w:szCs w:val="24"/>
          <w:highlight w:val="none"/>
        </w:rPr>
        <w:t>清</w:t>
      </w:r>
      <w:r>
        <w:rPr>
          <w:rFonts w:hint="eastAsia" w:ascii="宋体" w:hAnsi="宋体" w:eastAsia="宋体" w:cs="宋体"/>
          <w:position w:val="-4"/>
          <w:sz w:val="24"/>
          <w:szCs w:val="24"/>
          <w:highlight w:val="none"/>
        </w:rPr>
        <w:t>、</w:t>
      </w:r>
      <w:r>
        <w:rPr>
          <w:rFonts w:hint="eastAsia" w:ascii="宋体" w:hAnsi="宋体" w:eastAsia="宋体" w:cs="宋体"/>
          <w:spacing w:val="-2"/>
          <w:position w:val="-4"/>
          <w:sz w:val="24"/>
          <w:szCs w:val="24"/>
          <w:highlight w:val="none"/>
        </w:rPr>
        <w:t>说</w:t>
      </w:r>
      <w:r>
        <w:rPr>
          <w:rFonts w:hint="eastAsia" w:ascii="宋体" w:hAnsi="宋体" w:eastAsia="宋体" w:cs="宋体"/>
          <w:position w:val="-4"/>
          <w:sz w:val="24"/>
          <w:szCs w:val="24"/>
          <w:highlight w:val="none"/>
        </w:rPr>
        <w:t>明或</w:t>
      </w:r>
      <w:r>
        <w:rPr>
          <w:rFonts w:hint="eastAsia" w:ascii="宋体" w:hAnsi="宋体" w:eastAsia="宋体" w:cs="宋体"/>
          <w:spacing w:val="-2"/>
          <w:position w:val="-4"/>
          <w:sz w:val="24"/>
          <w:szCs w:val="24"/>
          <w:highlight w:val="none"/>
        </w:rPr>
        <w:t>补</w:t>
      </w:r>
      <w:r>
        <w:rPr>
          <w:rFonts w:hint="eastAsia" w:ascii="宋体" w:hAnsi="宋体" w:eastAsia="宋体" w:cs="宋体"/>
          <w:position w:val="-4"/>
          <w:sz w:val="24"/>
          <w:szCs w:val="24"/>
          <w:highlight w:val="none"/>
        </w:rPr>
        <w:t>正</w:t>
      </w:r>
      <w:r>
        <w:rPr>
          <w:rFonts w:hint="eastAsia" w:ascii="宋体" w:hAnsi="宋体" w:eastAsia="宋体" w:cs="宋体"/>
          <w:spacing w:val="-2"/>
          <w:position w:val="-4"/>
          <w:sz w:val="24"/>
          <w:szCs w:val="24"/>
          <w:highlight w:val="none"/>
        </w:rPr>
        <w:t>于</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position w:val="-4"/>
          <w:sz w:val="24"/>
          <w:szCs w:val="24"/>
          <w:highlight w:val="none"/>
        </w:rPr>
        <w:t>年</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position w:val="-4"/>
          <w:sz w:val="24"/>
          <w:szCs w:val="24"/>
          <w:highlight w:val="none"/>
        </w:rPr>
        <w:t>月</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spacing w:val="-2"/>
          <w:position w:val="-4"/>
          <w:sz w:val="24"/>
          <w:szCs w:val="24"/>
          <w:highlight w:val="none"/>
        </w:rPr>
        <w:t>日</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spacing w:val="-2"/>
          <w:position w:val="-4"/>
          <w:sz w:val="24"/>
          <w:szCs w:val="24"/>
          <w:highlight w:val="none"/>
        </w:rPr>
        <w:t>时</w:t>
      </w:r>
      <w:r>
        <w:rPr>
          <w:rFonts w:hint="eastAsia" w:ascii="宋体" w:hAnsi="宋体" w:eastAsia="宋体" w:cs="宋体"/>
          <w:position w:val="-4"/>
          <w:sz w:val="24"/>
          <w:szCs w:val="24"/>
          <w:highlight w:val="none"/>
        </w:rPr>
        <w:t>前递</w:t>
      </w:r>
      <w:r>
        <w:rPr>
          <w:rFonts w:hint="eastAsia" w:ascii="宋体" w:hAnsi="宋体" w:eastAsia="宋体" w:cs="宋体"/>
          <w:spacing w:val="-2"/>
          <w:position w:val="-4"/>
          <w:sz w:val="24"/>
          <w:szCs w:val="24"/>
          <w:highlight w:val="none"/>
        </w:rPr>
        <w:t>交</w:t>
      </w:r>
      <w:r>
        <w:rPr>
          <w:rFonts w:hint="eastAsia" w:ascii="宋体" w:hAnsi="宋体" w:eastAsia="宋体" w:cs="宋体"/>
          <w:position w:val="-4"/>
          <w:sz w:val="24"/>
          <w:szCs w:val="24"/>
          <w:highlight w:val="none"/>
        </w:rPr>
        <w:t>至</w:t>
      </w:r>
    </w:p>
    <w:p w14:paraId="59104796">
      <w:pPr>
        <w:tabs>
          <w:tab w:val="left" w:pos="3040"/>
          <w:tab w:val="left" w:pos="7320"/>
        </w:tabs>
        <w:spacing w:line="360" w:lineRule="auto"/>
        <w:ind w:left="100" w:right="-20"/>
        <w:rPr>
          <w:rFonts w:ascii="宋体" w:hAnsi="宋体" w:eastAsia="宋体" w:cs="宋体"/>
          <w:sz w:val="24"/>
          <w:szCs w:val="24"/>
          <w:highlight w:val="none"/>
        </w:rPr>
      </w:pPr>
      <w:r>
        <w:rPr>
          <w:rFonts w:ascii="宋体" w:hAnsi="宋体" w:eastAsia="宋体" w:cs="宋体"/>
          <w:w w:val="20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position w:val="-2"/>
          <w:sz w:val="24"/>
          <w:szCs w:val="24"/>
          <w:highlight w:val="none"/>
        </w:rPr>
        <w:t>（</w:t>
      </w:r>
      <w:r>
        <w:rPr>
          <w:rFonts w:hint="eastAsia" w:ascii="宋体" w:hAnsi="宋体" w:eastAsia="宋体" w:cs="宋体"/>
          <w:spacing w:val="-2"/>
          <w:position w:val="-2"/>
          <w:sz w:val="24"/>
          <w:szCs w:val="24"/>
          <w:highlight w:val="none"/>
        </w:rPr>
        <w:t>详</w:t>
      </w:r>
      <w:r>
        <w:rPr>
          <w:rFonts w:hint="eastAsia" w:ascii="宋体" w:hAnsi="宋体" w:eastAsia="宋体" w:cs="宋体"/>
          <w:position w:val="-2"/>
          <w:sz w:val="24"/>
          <w:szCs w:val="24"/>
          <w:highlight w:val="none"/>
        </w:rPr>
        <w:t>细</w:t>
      </w:r>
      <w:r>
        <w:rPr>
          <w:rFonts w:hint="eastAsia" w:ascii="宋体" w:hAnsi="宋体" w:eastAsia="宋体" w:cs="宋体"/>
          <w:spacing w:val="-2"/>
          <w:position w:val="-2"/>
          <w:sz w:val="24"/>
          <w:szCs w:val="24"/>
          <w:highlight w:val="none"/>
        </w:rPr>
        <w:t>地址</w:t>
      </w:r>
      <w:r>
        <w:rPr>
          <w:rFonts w:hint="eastAsia" w:ascii="宋体" w:hAnsi="宋体" w:eastAsia="宋体" w:cs="宋体"/>
          <w:spacing w:val="-24"/>
          <w:position w:val="-2"/>
          <w:sz w:val="24"/>
          <w:szCs w:val="24"/>
          <w:highlight w:val="none"/>
        </w:rPr>
        <w:t>）</w:t>
      </w:r>
      <w:r>
        <w:rPr>
          <w:rFonts w:hint="eastAsia" w:ascii="宋体" w:hAnsi="宋体" w:eastAsia="宋体" w:cs="宋体"/>
          <w:spacing w:val="-2"/>
          <w:position w:val="-2"/>
          <w:sz w:val="24"/>
          <w:szCs w:val="24"/>
          <w:highlight w:val="none"/>
        </w:rPr>
        <w:t>或</w:t>
      </w:r>
      <w:r>
        <w:rPr>
          <w:rFonts w:hint="eastAsia" w:ascii="宋体" w:hAnsi="宋体" w:eastAsia="宋体" w:cs="宋体"/>
          <w:position w:val="-2"/>
          <w:sz w:val="24"/>
          <w:szCs w:val="24"/>
          <w:highlight w:val="none"/>
        </w:rPr>
        <w:t>传</w:t>
      </w:r>
      <w:r>
        <w:rPr>
          <w:rFonts w:hint="eastAsia" w:ascii="宋体" w:hAnsi="宋体" w:eastAsia="宋体" w:cs="宋体"/>
          <w:spacing w:val="-2"/>
          <w:position w:val="-2"/>
          <w:sz w:val="24"/>
          <w:szCs w:val="24"/>
          <w:highlight w:val="none"/>
        </w:rPr>
        <w:t>真</w:t>
      </w:r>
      <w:r>
        <w:rPr>
          <w:rFonts w:hint="eastAsia" w:ascii="宋体" w:hAnsi="宋体" w:eastAsia="宋体" w:cs="宋体"/>
          <w:position w:val="-2"/>
          <w:sz w:val="24"/>
          <w:szCs w:val="24"/>
          <w:highlight w:val="none"/>
        </w:rPr>
        <w:t>至</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position w:val="-2"/>
          <w:sz w:val="24"/>
          <w:szCs w:val="24"/>
          <w:highlight w:val="none"/>
        </w:rPr>
        <w:t>（</w:t>
      </w:r>
      <w:r>
        <w:rPr>
          <w:rFonts w:hint="eastAsia" w:ascii="宋体" w:hAnsi="宋体" w:eastAsia="宋体" w:cs="宋体"/>
          <w:spacing w:val="-2"/>
          <w:position w:val="-2"/>
          <w:sz w:val="24"/>
          <w:szCs w:val="24"/>
          <w:highlight w:val="none"/>
        </w:rPr>
        <w:t>传</w:t>
      </w:r>
      <w:r>
        <w:rPr>
          <w:rFonts w:hint="eastAsia" w:ascii="宋体" w:hAnsi="宋体" w:eastAsia="宋体" w:cs="宋体"/>
          <w:position w:val="-2"/>
          <w:sz w:val="24"/>
          <w:szCs w:val="24"/>
          <w:highlight w:val="none"/>
        </w:rPr>
        <w:t>真</w:t>
      </w:r>
      <w:r>
        <w:rPr>
          <w:rFonts w:hint="eastAsia" w:ascii="宋体" w:hAnsi="宋体" w:eastAsia="宋体" w:cs="宋体"/>
          <w:spacing w:val="-2"/>
          <w:position w:val="-2"/>
          <w:sz w:val="24"/>
          <w:szCs w:val="24"/>
          <w:highlight w:val="none"/>
        </w:rPr>
        <w:t>号码</w:t>
      </w:r>
      <w:r>
        <w:rPr>
          <w:rFonts w:hint="eastAsia" w:ascii="宋体" w:hAnsi="宋体" w:eastAsia="宋体" w:cs="宋体"/>
          <w:spacing w:val="-24"/>
          <w:position w:val="-2"/>
          <w:sz w:val="24"/>
          <w:szCs w:val="24"/>
          <w:highlight w:val="none"/>
        </w:rPr>
        <w:t>）</w:t>
      </w:r>
      <w:r>
        <w:rPr>
          <w:rFonts w:hint="eastAsia" w:ascii="宋体" w:hAnsi="宋体" w:eastAsia="宋体" w:cs="宋体"/>
          <w:spacing w:val="-2"/>
          <w:position w:val="-2"/>
          <w:sz w:val="24"/>
          <w:szCs w:val="24"/>
          <w:highlight w:val="none"/>
        </w:rPr>
        <w:t>。</w:t>
      </w:r>
      <w:r>
        <w:rPr>
          <w:rFonts w:hint="eastAsia" w:ascii="宋体" w:hAnsi="宋体" w:eastAsia="宋体" w:cs="宋体"/>
          <w:position w:val="-2"/>
          <w:sz w:val="24"/>
          <w:szCs w:val="24"/>
          <w:highlight w:val="none"/>
        </w:rPr>
        <w:t>采</w:t>
      </w:r>
      <w:r>
        <w:rPr>
          <w:rFonts w:hint="eastAsia" w:ascii="宋体" w:hAnsi="宋体" w:eastAsia="宋体" w:cs="宋体"/>
          <w:spacing w:val="-2"/>
          <w:position w:val="-2"/>
          <w:sz w:val="24"/>
          <w:szCs w:val="24"/>
          <w:highlight w:val="none"/>
        </w:rPr>
        <w:t>用</w:t>
      </w:r>
      <w:r>
        <w:rPr>
          <w:rFonts w:hint="eastAsia" w:ascii="宋体" w:hAnsi="宋体" w:eastAsia="宋体" w:cs="宋体"/>
          <w:position w:val="-2"/>
          <w:sz w:val="24"/>
          <w:szCs w:val="24"/>
          <w:highlight w:val="none"/>
        </w:rPr>
        <w:t>传真</w:t>
      </w:r>
      <w:r>
        <w:rPr>
          <w:rFonts w:hint="eastAsia" w:ascii="宋体" w:hAnsi="宋体" w:eastAsia="宋体" w:cs="宋体"/>
          <w:spacing w:val="-2"/>
          <w:position w:val="-2"/>
          <w:sz w:val="24"/>
          <w:szCs w:val="24"/>
          <w:highlight w:val="none"/>
        </w:rPr>
        <w:t>方</w:t>
      </w:r>
      <w:r>
        <w:rPr>
          <w:rFonts w:hint="eastAsia" w:ascii="宋体" w:hAnsi="宋体" w:eastAsia="宋体" w:cs="宋体"/>
          <w:position w:val="-2"/>
          <w:sz w:val="24"/>
          <w:szCs w:val="24"/>
          <w:highlight w:val="none"/>
        </w:rPr>
        <w:t>式</w:t>
      </w:r>
      <w:r>
        <w:rPr>
          <w:rFonts w:hint="eastAsia" w:ascii="宋体" w:hAnsi="宋体" w:eastAsia="宋体" w:cs="宋体"/>
          <w:spacing w:val="-2"/>
          <w:position w:val="-2"/>
          <w:sz w:val="24"/>
          <w:szCs w:val="24"/>
          <w:highlight w:val="none"/>
        </w:rPr>
        <w:t>的</w:t>
      </w:r>
      <w:r>
        <w:rPr>
          <w:rFonts w:hint="eastAsia" w:ascii="宋体" w:hAnsi="宋体" w:eastAsia="宋体" w:cs="宋体"/>
          <w:position w:val="-2"/>
          <w:sz w:val="24"/>
          <w:szCs w:val="24"/>
          <w:highlight w:val="none"/>
        </w:rPr>
        <w:t>，</w:t>
      </w:r>
      <w:r>
        <w:rPr>
          <w:rFonts w:hint="eastAsia" w:ascii="宋体" w:hAnsi="宋体" w:eastAsia="宋体" w:cs="宋体"/>
          <w:spacing w:val="-2"/>
          <w:position w:val="-2"/>
          <w:sz w:val="24"/>
          <w:szCs w:val="24"/>
          <w:highlight w:val="none"/>
        </w:rPr>
        <w:t>应</w:t>
      </w:r>
      <w:r>
        <w:rPr>
          <w:rFonts w:hint="eastAsia" w:ascii="宋体" w:hAnsi="宋体" w:eastAsia="宋体" w:cs="宋体"/>
          <w:position w:val="-2"/>
          <w:sz w:val="24"/>
          <w:szCs w:val="24"/>
          <w:highlight w:val="none"/>
        </w:rPr>
        <w:t>在</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position w:val="-2"/>
          <w:sz w:val="24"/>
          <w:szCs w:val="24"/>
          <w:highlight w:val="none"/>
        </w:rPr>
        <w:t>年</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hint="eastAsia" w:ascii="宋体" w:hAnsi="宋体" w:eastAsia="宋体" w:cs="宋体"/>
          <w:position w:val="-2"/>
          <w:sz w:val="24"/>
          <w:szCs w:val="24"/>
          <w:highlight w:val="none"/>
        </w:rPr>
        <w:t>月</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日</w:t>
      </w:r>
      <w:r>
        <w:rPr>
          <w:rFonts w:ascii="宋体" w:hAnsi="宋体" w:eastAsia="宋体" w:cs="宋体"/>
          <w:position w:val="-2"/>
          <w:sz w:val="24"/>
          <w:szCs w:val="24"/>
          <w:highlight w:val="none"/>
          <w:u w:val="single"/>
        </w:rPr>
        <w:t xml:space="preserve">    </w:t>
      </w:r>
      <w:r>
        <w:rPr>
          <w:rFonts w:hint="eastAsia" w:ascii="宋体" w:hAnsi="宋体" w:eastAsia="宋体" w:cs="宋体"/>
          <w:spacing w:val="-2"/>
          <w:position w:val="-2"/>
          <w:sz w:val="24"/>
          <w:szCs w:val="24"/>
          <w:highlight w:val="none"/>
        </w:rPr>
        <w:t>时</w:t>
      </w:r>
      <w:r>
        <w:rPr>
          <w:rFonts w:hint="eastAsia" w:ascii="宋体" w:hAnsi="宋体" w:eastAsia="宋体" w:cs="宋体"/>
          <w:position w:val="-2"/>
          <w:sz w:val="24"/>
          <w:szCs w:val="24"/>
          <w:highlight w:val="none"/>
        </w:rPr>
        <w:t>前</w:t>
      </w:r>
      <w:r>
        <w:rPr>
          <w:rFonts w:hint="eastAsia" w:ascii="宋体" w:hAnsi="宋体" w:eastAsia="宋体" w:cs="宋体"/>
          <w:spacing w:val="-2"/>
          <w:position w:val="-2"/>
          <w:sz w:val="24"/>
          <w:szCs w:val="24"/>
          <w:highlight w:val="none"/>
        </w:rPr>
        <w:t>将</w:t>
      </w:r>
      <w:r>
        <w:rPr>
          <w:rFonts w:hint="eastAsia" w:ascii="宋体" w:hAnsi="宋体" w:eastAsia="宋体" w:cs="宋体"/>
          <w:position w:val="-2"/>
          <w:sz w:val="24"/>
          <w:szCs w:val="24"/>
          <w:highlight w:val="none"/>
        </w:rPr>
        <w:t>原件</w:t>
      </w:r>
      <w:r>
        <w:rPr>
          <w:rFonts w:hint="eastAsia" w:ascii="宋体" w:hAnsi="宋体" w:eastAsia="宋体" w:cs="宋体"/>
          <w:spacing w:val="-2"/>
          <w:position w:val="-2"/>
          <w:sz w:val="24"/>
          <w:szCs w:val="24"/>
          <w:highlight w:val="none"/>
        </w:rPr>
        <w:t>递</w:t>
      </w:r>
      <w:r>
        <w:rPr>
          <w:rFonts w:hint="eastAsia" w:ascii="宋体" w:hAnsi="宋体" w:eastAsia="宋体" w:cs="宋体"/>
          <w:position w:val="-2"/>
          <w:sz w:val="24"/>
          <w:szCs w:val="24"/>
          <w:highlight w:val="none"/>
        </w:rPr>
        <w:t>交</w:t>
      </w:r>
      <w:r>
        <w:rPr>
          <w:rFonts w:hint="eastAsia" w:ascii="宋体" w:hAnsi="宋体" w:eastAsia="宋体" w:cs="宋体"/>
          <w:spacing w:val="-2"/>
          <w:position w:val="-2"/>
          <w:sz w:val="24"/>
          <w:szCs w:val="24"/>
          <w:highlight w:val="none"/>
        </w:rPr>
        <w:t>至</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spacing w:val="-2"/>
          <w:position w:val="-2"/>
          <w:sz w:val="24"/>
          <w:szCs w:val="24"/>
          <w:highlight w:val="none"/>
        </w:rPr>
        <w:t>（</w:t>
      </w:r>
      <w:r>
        <w:rPr>
          <w:rFonts w:hint="eastAsia" w:ascii="宋体" w:hAnsi="宋体" w:eastAsia="宋体" w:cs="宋体"/>
          <w:position w:val="-2"/>
          <w:sz w:val="24"/>
          <w:szCs w:val="24"/>
          <w:highlight w:val="none"/>
        </w:rPr>
        <w:t>详</w:t>
      </w:r>
      <w:r>
        <w:rPr>
          <w:rFonts w:hint="eastAsia" w:ascii="宋体" w:hAnsi="宋体" w:eastAsia="宋体" w:cs="宋体"/>
          <w:spacing w:val="-2"/>
          <w:position w:val="-2"/>
          <w:sz w:val="24"/>
          <w:szCs w:val="24"/>
          <w:highlight w:val="none"/>
        </w:rPr>
        <w:t>细</w:t>
      </w:r>
      <w:r>
        <w:rPr>
          <w:rFonts w:hint="eastAsia" w:ascii="宋体" w:hAnsi="宋体" w:eastAsia="宋体" w:cs="宋体"/>
          <w:position w:val="-2"/>
          <w:sz w:val="24"/>
          <w:szCs w:val="24"/>
          <w:highlight w:val="none"/>
        </w:rPr>
        <w:t>地</w:t>
      </w:r>
      <w:r>
        <w:rPr>
          <w:rFonts w:hint="eastAsia" w:ascii="宋体" w:hAnsi="宋体" w:eastAsia="宋体" w:cs="宋体"/>
          <w:spacing w:val="-2"/>
          <w:position w:val="-2"/>
          <w:sz w:val="24"/>
          <w:szCs w:val="24"/>
          <w:highlight w:val="none"/>
        </w:rPr>
        <w:t>址</w:t>
      </w:r>
      <w:r>
        <w:rPr>
          <w:rFonts w:hint="eastAsia" w:ascii="宋体" w:hAnsi="宋体" w:eastAsia="宋体" w:cs="宋体"/>
          <w:spacing w:val="-106"/>
          <w:position w:val="-2"/>
          <w:sz w:val="24"/>
          <w:szCs w:val="24"/>
          <w:highlight w:val="none"/>
        </w:rPr>
        <w:t>）。</w:t>
      </w:r>
    </w:p>
    <w:p w14:paraId="0A4538A4">
      <w:pPr>
        <w:spacing w:before="9"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p>
    <w:p w14:paraId="7AAE2AA2">
      <w:pPr>
        <w:spacing w:before="9" w:line="360" w:lineRule="auto"/>
        <w:rPr>
          <w:rFonts w:ascii="宋体" w:hAnsi="宋体" w:eastAsia="宋体" w:cs="宋体"/>
          <w:sz w:val="24"/>
          <w:szCs w:val="24"/>
          <w:highlight w:val="none"/>
        </w:rPr>
      </w:pPr>
    </w:p>
    <w:p w14:paraId="1FC6B4F8">
      <w:pPr>
        <w:tabs>
          <w:tab w:val="left" w:pos="7020"/>
        </w:tabs>
        <w:spacing w:line="360" w:lineRule="auto"/>
        <w:ind w:right="-20" w:firstLine="720" w:firstLineChars="300"/>
        <w:rPr>
          <w:rFonts w:ascii="宋体" w:hAnsi="宋体" w:eastAsia="宋体" w:cs="宋体"/>
          <w:position w:val="-2"/>
          <w:sz w:val="24"/>
          <w:szCs w:val="24"/>
          <w:highlight w:val="none"/>
        </w:rPr>
      </w:pPr>
      <w:r>
        <w:rPr>
          <w:rFonts w:hint="eastAsia" w:ascii="宋体" w:hAnsi="宋体" w:eastAsia="宋体" w:cs="宋体"/>
          <w:position w:val="-2"/>
          <w:sz w:val="24"/>
          <w:szCs w:val="24"/>
          <w:highlight w:val="none"/>
        </w:rPr>
        <w:t>评标</w:t>
      </w:r>
      <w:r>
        <w:rPr>
          <w:rFonts w:hint="eastAsia" w:ascii="宋体" w:hAnsi="宋体" w:eastAsia="宋体" w:cs="宋体"/>
          <w:spacing w:val="-2"/>
          <w:position w:val="-2"/>
          <w:sz w:val="24"/>
          <w:szCs w:val="24"/>
          <w:highlight w:val="none"/>
        </w:rPr>
        <w:t>委</w:t>
      </w:r>
      <w:r>
        <w:rPr>
          <w:rFonts w:hint="eastAsia" w:ascii="宋体" w:hAnsi="宋体" w:eastAsia="宋体" w:cs="宋体"/>
          <w:position w:val="-2"/>
          <w:sz w:val="24"/>
          <w:szCs w:val="24"/>
          <w:highlight w:val="none"/>
        </w:rPr>
        <w:t>员</w:t>
      </w:r>
      <w:r>
        <w:rPr>
          <w:rFonts w:hint="eastAsia" w:ascii="宋体" w:hAnsi="宋体" w:eastAsia="宋体" w:cs="宋体"/>
          <w:spacing w:val="-2"/>
          <w:position w:val="-2"/>
          <w:sz w:val="24"/>
          <w:szCs w:val="24"/>
          <w:highlight w:val="none"/>
        </w:rPr>
        <w:t>会</w:t>
      </w:r>
      <w:r>
        <w:rPr>
          <w:rFonts w:hint="eastAsia" w:ascii="宋体" w:hAnsi="宋体" w:eastAsia="宋体" w:cs="宋体"/>
          <w:position w:val="-2"/>
          <w:sz w:val="24"/>
          <w:szCs w:val="24"/>
          <w:highlight w:val="none"/>
        </w:rPr>
        <w:t>授</w:t>
      </w:r>
      <w:r>
        <w:rPr>
          <w:rFonts w:hint="eastAsia" w:ascii="宋体" w:hAnsi="宋体" w:eastAsia="宋体" w:cs="宋体"/>
          <w:spacing w:val="-2"/>
          <w:position w:val="-2"/>
          <w:sz w:val="24"/>
          <w:szCs w:val="24"/>
          <w:highlight w:val="none"/>
        </w:rPr>
        <w:t>权</w:t>
      </w:r>
      <w:r>
        <w:rPr>
          <w:rFonts w:hint="eastAsia" w:ascii="宋体" w:hAnsi="宋体" w:eastAsia="宋体" w:cs="宋体"/>
          <w:position w:val="-2"/>
          <w:sz w:val="24"/>
          <w:szCs w:val="24"/>
          <w:highlight w:val="none"/>
        </w:rPr>
        <w:t>的</w:t>
      </w:r>
      <w:r>
        <w:rPr>
          <w:rFonts w:hint="eastAsia" w:ascii="宋体" w:hAnsi="宋体" w:eastAsia="宋体" w:cs="宋体"/>
          <w:spacing w:val="-2"/>
          <w:position w:val="-2"/>
          <w:sz w:val="24"/>
          <w:szCs w:val="24"/>
          <w:highlight w:val="none"/>
        </w:rPr>
        <w:t>招</w:t>
      </w:r>
      <w:r>
        <w:rPr>
          <w:rFonts w:hint="eastAsia" w:ascii="宋体" w:hAnsi="宋体" w:eastAsia="宋体" w:cs="宋体"/>
          <w:position w:val="-2"/>
          <w:sz w:val="24"/>
          <w:szCs w:val="24"/>
          <w:highlight w:val="none"/>
        </w:rPr>
        <w:t>标</w:t>
      </w:r>
      <w:r>
        <w:rPr>
          <w:rFonts w:hint="eastAsia" w:ascii="宋体" w:hAnsi="宋体" w:eastAsia="宋体" w:cs="宋体"/>
          <w:spacing w:val="-2"/>
          <w:position w:val="-2"/>
          <w:sz w:val="24"/>
          <w:szCs w:val="24"/>
          <w:highlight w:val="none"/>
        </w:rPr>
        <w:t>人</w:t>
      </w:r>
      <w:r>
        <w:rPr>
          <w:rFonts w:hint="eastAsia" w:ascii="宋体" w:hAnsi="宋体" w:eastAsia="宋体" w:cs="宋体"/>
          <w:position w:val="-2"/>
          <w:sz w:val="24"/>
          <w:szCs w:val="24"/>
          <w:highlight w:val="none"/>
        </w:rPr>
        <w:t>或招</w:t>
      </w:r>
      <w:r>
        <w:rPr>
          <w:rFonts w:hint="eastAsia" w:ascii="宋体" w:hAnsi="宋体" w:eastAsia="宋体" w:cs="宋体"/>
          <w:spacing w:val="-2"/>
          <w:position w:val="-2"/>
          <w:sz w:val="24"/>
          <w:szCs w:val="24"/>
          <w:highlight w:val="none"/>
        </w:rPr>
        <w:t>标</w:t>
      </w:r>
      <w:r>
        <w:rPr>
          <w:rFonts w:hint="eastAsia" w:ascii="宋体" w:hAnsi="宋体" w:eastAsia="宋体" w:cs="宋体"/>
          <w:position w:val="-2"/>
          <w:sz w:val="24"/>
          <w:szCs w:val="24"/>
          <w:highlight w:val="none"/>
        </w:rPr>
        <w:t>代</w:t>
      </w:r>
      <w:r>
        <w:rPr>
          <w:rFonts w:hint="eastAsia" w:ascii="宋体" w:hAnsi="宋体" w:eastAsia="宋体" w:cs="宋体"/>
          <w:spacing w:val="-2"/>
          <w:position w:val="-2"/>
          <w:sz w:val="24"/>
          <w:szCs w:val="24"/>
          <w:highlight w:val="none"/>
        </w:rPr>
        <w:t>理</w:t>
      </w:r>
      <w:r>
        <w:rPr>
          <w:rFonts w:hint="eastAsia" w:ascii="宋体" w:hAnsi="宋体" w:eastAsia="宋体" w:cs="宋体"/>
          <w:position w:val="-2"/>
          <w:sz w:val="24"/>
          <w:szCs w:val="24"/>
          <w:highlight w:val="none"/>
        </w:rPr>
        <w:t>机</w:t>
      </w:r>
      <w:r>
        <w:rPr>
          <w:rFonts w:hint="eastAsia" w:ascii="宋体" w:hAnsi="宋体" w:eastAsia="宋体" w:cs="宋体"/>
          <w:spacing w:val="-2"/>
          <w:position w:val="-2"/>
          <w:sz w:val="24"/>
          <w:szCs w:val="24"/>
          <w:highlight w:val="none"/>
        </w:rPr>
        <w:t>构</w:t>
      </w:r>
      <w:r>
        <w:rPr>
          <w:rFonts w:hint="eastAsia" w:ascii="宋体" w:hAnsi="宋体" w:eastAsia="宋体" w:cs="宋体"/>
          <w:position w:val="-2"/>
          <w:sz w:val="24"/>
          <w:szCs w:val="24"/>
          <w:highlight w:val="none"/>
        </w:rPr>
        <w:t>：</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hint="eastAsia" w:ascii="宋体" w:hAnsi="宋体" w:eastAsia="宋体" w:cs="宋体"/>
          <w:spacing w:val="1"/>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hint="eastAsia" w:ascii="宋体" w:hAnsi="宋体" w:eastAsia="宋体" w:cs="宋体"/>
          <w:position w:val="-2"/>
          <w:sz w:val="24"/>
          <w:szCs w:val="24"/>
          <w:highlight w:val="none"/>
        </w:rPr>
        <w:t>（签</w:t>
      </w:r>
      <w:r>
        <w:rPr>
          <w:rFonts w:hint="eastAsia" w:ascii="宋体" w:hAnsi="宋体" w:eastAsia="宋体" w:cs="宋体"/>
          <w:spacing w:val="-2"/>
          <w:position w:val="-2"/>
          <w:sz w:val="24"/>
          <w:szCs w:val="24"/>
          <w:highlight w:val="none"/>
        </w:rPr>
        <w:t>字</w:t>
      </w:r>
      <w:r>
        <w:rPr>
          <w:rFonts w:hint="eastAsia" w:ascii="宋体" w:hAnsi="宋体" w:eastAsia="宋体" w:cs="宋体"/>
          <w:position w:val="-2"/>
          <w:sz w:val="24"/>
          <w:szCs w:val="24"/>
          <w:highlight w:val="none"/>
        </w:rPr>
        <w:t>或</w:t>
      </w:r>
      <w:r>
        <w:rPr>
          <w:rFonts w:hint="eastAsia" w:ascii="宋体" w:hAnsi="宋体" w:eastAsia="宋体" w:cs="宋体"/>
          <w:spacing w:val="-2"/>
          <w:position w:val="-2"/>
          <w:sz w:val="24"/>
          <w:szCs w:val="24"/>
          <w:highlight w:val="none"/>
        </w:rPr>
        <w:t>盖</w:t>
      </w:r>
      <w:r>
        <w:rPr>
          <w:rFonts w:hint="eastAsia" w:ascii="宋体" w:hAnsi="宋体" w:eastAsia="宋体" w:cs="宋体"/>
          <w:position w:val="-2"/>
          <w:sz w:val="24"/>
          <w:szCs w:val="24"/>
          <w:highlight w:val="none"/>
        </w:rPr>
        <w:t>章）</w:t>
      </w:r>
    </w:p>
    <w:p w14:paraId="11FAA6AB">
      <w:pPr>
        <w:tabs>
          <w:tab w:val="left" w:pos="7020"/>
        </w:tabs>
        <w:spacing w:line="360" w:lineRule="auto"/>
        <w:ind w:right="-20" w:firstLine="2160" w:firstLineChars="900"/>
        <w:rPr>
          <w:rFonts w:ascii="宋体" w:hAnsi="宋体" w:eastAsia="宋体" w:cs="宋体"/>
          <w:sz w:val="24"/>
          <w:szCs w:val="24"/>
          <w:highlight w:val="none"/>
          <w:u w:val="single"/>
        </w:rPr>
      </w:pPr>
      <w:r>
        <w:rPr>
          <w:rFonts w:hint="eastAsia" w:ascii="宋体" w:hAnsi="宋体" w:eastAsia="宋体" w:cs="宋体"/>
          <w:position w:val="-2"/>
          <w:sz w:val="24"/>
          <w:szCs w:val="24"/>
          <w:highlight w:val="none"/>
        </w:rPr>
        <w:t>日期：</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年</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月</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日</w:t>
      </w:r>
    </w:p>
    <w:p w14:paraId="0FCAB88A">
      <w:pPr>
        <w:widowControl/>
        <w:spacing w:line="360" w:lineRule="auto"/>
        <w:jc w:val="left"/>
        <w:rPr>
          <w:rFonts w:ascii="宋体" w:hAnsi="宋体" w:eastAsia="宋体"/>
          <w:bCs/>
          <w:sz w:val="24"/>
          <w:szCs w:val="24"/>
          <w:highlight w:val="none"/>
        </w:rPr>
      </w:pPr>
      <w:r>
        <w:rPr>
          <w:rFonts w:ascii="宋体" w:hAnsi="宋体" w:eastAsia="宋体"/>
          <w:bCs/>
          <w:sz w:val="24"/>
          <w:szCs w:val="24"/>
          <w:highlight w:val="none"/>
        </w:rPr>
        <w:br w:type="page"/>
      </w:r>
    </w:p>
    <w:p w14:paraId="75729DB1">
      <w:pPr>
        <w:spacing w:line="360" w:lineRule="auto"/>
        <w:jc w:val="center"/>
        <w:rPr>
          <w:rFonts w:ascii="宋体" w:hAnsi="宋体" w:eastAsia="宋体"/>
          <w:highlight w:val="none"/>
        </w:rPr>
        <w:sectPr>
          <w:pgSz w:w="11906" w:h="16838"/>
          <w:pgMar w:top="1440" w:right="1800" w:bottom="1440" w:left="1800" w:header="720" w:footer="720" w:gutter="0"/>
          <w:cols w:space="720" w:num="1"/>
          <w:docGrid w:linePitch="285" w:charSpace="0"/>
        </w:sectPr>
      </w:pPr>
    </w:p>
    <w:p w14:paraId="27BB162A">
      <w:pPr>
        <w:pStyle w:val="3"/>
        <w:rPr>
          <w:color w:val="auto"/>
          <w:highlight w:val="none"/>
        </w:rPr>
      </w:pPr>
      <w:bookmarkStart w:id="283" w:name="_Toc51055768"/>
      <w:bookmarkStart w:id="284" w:name="_Toc45266450"/>
      <w:bookmarkStart w:id="285" w:name="_Toc2148"/>
      <w:r>
        <w:rPr>
          <w:rFonts w:hint="eastAsia"/>
          <w:color w:val="auto"/>
          <w:highlight w:val="none"/>
        </w:rPr>
        <w:t>附件三：</w:t>
      </w:r>
      <w:bookmarkEnd w:id="283"/>
      <w:bookmarkEnd w:id="284"/>
      <w:r>
        <w:rPr>
          <w:rFonts w:hint="eastAsia"/>
          <w:color w:val="auto"/>
          <w:szCs w:val="28"/>
          <w:highlight w:val="none"/>
        </w:rPr>
        <w:t>问题的澄清</w:t>
      </w:r>
      <w:bookmarkEnd w:id="285"/>
    </w:p>
    <w:p w14:paraId="57790BA0">
      <w:pPr>
        <w:spacing w:line="360" w:lineRule="auto"/>
        <w:ind w:right="-35"/>
        <w:jc w:val="center"/>
        <w:rPr>
          <w:rFonts w:ascii="宋体" w:hAnsi="宋体" w:eastAsia="宋体" w:cs="宋体"/>
          <w:sz w:val="24"/>
          <w:szCs w:val="24"/>
          <w:highlight w:val="none"/>
        </w:rPr>
      </w:pPr>
      <w:r>
        <w:rPr>
          <w:rFonts w:hint="eastAsia" w:ascii="宋体" w:hAnsi="宋体" w:eastAsia="宋体" w:cs="宋体"/>
          <w:sz w:val="24"/>
          <w:szCs w:val="24"/>
          <w:highlight w:val="none"/>
        </w:rPr>
        <w:t>问题的</w:t>
      </w:r>
      <w:r>
        <w:rPr>
          <w:rFonts w:hint="eastAsia" w:ascii="宋体" w:hAnsi="宋体" w:eastAsia="宋体" w:cs="宋体"/>
          <w:spacing w:val="-3"/>
          <w:sz w:val="24"/>
          <w:szCs w:val="24"/>
          <w:highlight w:val="none"/>
        </w:rPr>
        <w:t>澄</w:t>
      </w:r>
      <w:r>
        <w:rPr>
          <w:rFonts w:hint="eastAsia" w:ascii="宋体" w:hAnsi="宋体" w:eastAsia="宋体" w:cs="宋体"/>
          <w:sz w:val="24"/>
          <w:szCs w:val="24"/>
          <w:highlight w:val="none"/>
        </w:rPr>
        <w:t>清</w:t>
      </w:r>
    </w:p>
    <w:p w14:paraId="3D29760F">
      <w:pPr>
        <w:tabs>
          <w:tab w:val="left" w:pos="5940"/>
        </w:tabs>
        <w:spacing w:before="19" w:line="360" w:lineRule="auto"/>
        <w:ind w:left="3567" w:right="-20"/>
        <w:rPr>
          <w:rFonts w:ascii="宋体" w:hAnsi="宋体" w:eastAsia="宋体" w:cs="宋体"/>
          <w:position w:val="-4"/>
          <w:sz w:val="24"/>
          <w:szCs w:val="24"/>
          <w:highlight w:val="none"/>
        </w:rPr>
      </w:pPr>
      <w:r>
        <w:rPr>
          <w:rFonts w:hint="eastAsia" w:ascii="宋体" w:hAnsi="宋体" w:eastAsia="宋体" w:cs="宋体"/>
          <w:position w:val="-4"/>
          <w:sz w:val="24"/>
          <w:szCs w:val="24"/>
          <w:highlight w:val="none"/>
        </w:rPr>
        <w:t>（编</w:t>
      </w:r>
      <w:r>
        <w:rPr>
          <w:rFonts w:hint="eastAsia" w:ascii="宋体" w:hAnsi="宋体" w:eastAsia="宋体" w:cs="宋体"/>
          <w:spacing w:val="-2"/>
          <w:position w:val="-4"/>
          <w:sz w:val="24"/>
          <w:szCs w:val="24"/>
          <w:highlight w:val="none"/>
        </w:rPr>
        <w:t>号</w:t>
      </w:r>
      <w:r>
        <w:rPr>
          <w:rFonts w:hint="eastAsia" w:ascii="宋体" w:hAnsi="宋体" w:eastAsia="宋体" w:cs="宋体"/>
          <w:position w:val="-4"/>
          <w:sz w:val="24"/>
          <w:szCs w:val="24"/>
          <w:highlight w:val="none"/>
        </w:rPr>
        <w:t>：</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position w:val="-4"/>
          <w:sz w:val="24"/>
          <w:szCs w:val="24"/>
          <w:highlight w:val="none"/>
        </w:rPr>
        <w:t>）</w:t>
      </w:r>
    </w:p>
    <w:p w14:paraId="7660F6DA">
      <w:pPr>
        <w:tabs>
          <w:tab w:val="left" w:pos="5940"/>
        </w:tabs>
        <w:spacing w:before="19" w:line="360" w:lineRule="auto"/>
        <w:ind w:left="3567" w:right="-20"/>
        <w:rPr>
          <w:rFonts w:ascii="宋体" w:hAnsi="宋体" w:eastAsia="宋体" w:cs="宋体"/>
          <w:sz w:val="24"/>
          <w:szCs w:val="24"/>
          <w:highlight w:val="none"/>
        </w:rPr>
      </w:pPr>
    </w:p>
    <w:p w14:paraId="255D232D">
      <w:pPr>
        <w:spacing w:line="360" w:lineRule="auto"/>
        <w:ind w:left="100" w:right="-20"/>
        <w:rPr>
          <w:rFonts w:ascii="宋体" w:hAnsi="宋体" w:eastAsia="宋体" w:cs="宋体"/>
          <w:sz w:val="24"/>
          <w:szCs w:val="24"/>
          <w:highlight w:val="none"/>
        </w:rPr>
      </w:pPr>
      <w:r>
        <w:rPr>
          <w:rFonts w:hint="eastAsia" w:ascii="宋体" w:hAnsi="宋体" w:eastAsia="宋体" w:cs="宋体"/>
          <w:position w:val="-1"/>
          <w:sz w:val="24"/>
          <w:szCs w:val="24"/>
          <w:highlight w:val="none"/>
        </w:rPr>
        <w:t>评标</w:t>
      </w:r>
      <w:r>
        <w:rPr>
          <w:rFonts w:hint="eastAsia" w:ascii="宋体" w:hAnsi="宋体" w:eastAsia="宋体" w:cs="宋体"/>
          <w:spacing w:val="-2"/>
          <w:position w:val="-1"/>
          <w:sz w:val="24"/>
          <w:szCs w:val="24"/>
          <w:highlight w:val="none"/>
        </w:rPr>
        <w:t>委</w:t>
      </w:r>
      <w:r>
        <w:rPr>
          <w:rFonts w:hint="eastAsia" w:ascii="宋体" w:hAnsi="宋体" w:eastAsia="宋体" w:cs="宋体"/>
          <w:position w:val="-1"/>
          <w:sz w:val="24"/>
          <w:szCs w:val="24"/>
          <w:highlight w:val="none"/>
        </w:rPr>
        <w:t>员</w:t>
      </w:r>
      <w:r>
        <w:rPr>
          <w:rFonts w:hint="eastAsia" w:ascii="宋体" w:hAnsi="宋体" w:eastAsia="宋体" w:cs="宋体"/>
          <w:spacing w:val="-3"/>
          <w:position w:val="-1"/>
          <w:sz w:val="24"/>
          <w:szCs w:val="24"/>
          <w:highlight w:val="none"/>
        </w:rPr>
        <w:t>会</w:t>
      </w:r>
      <w:r>
        <w:rPr>
          <w:rFonts w:hint="eastAsia" w:ascii="宋体" w:hAnsi="宋体" w:eastAsia="宋体" w:cs="宋体"/>
          <w:position w:val="-1"/>
          <w:sz w:val="24"/>
          <w:szCs w:val="24"/>
          <w:highlight w:val="none"/>
        </w:rPr>
        <w:t>：</w:t>
      </w:r>
    </w:p>
    <w:p w14:paraId="03D34F14">
      <w:pPr>
        <w:tabs>
          <w:tab w:val="left" w:pos="3460"/>
        </w:tabs>
        <w:spacing w:line="360" w:lineRule="auto"/>
        <w:ind w:left="523" w:right="-20"/>
        <w:rPr>
          <w:rFonts w:ascii="宋体" w:hAnsi="宋体" w:eastAsia="宋体" w:cs="宋体"/>
          <w:sz w:val="24"/>
          <w:szCs w:val="24"/>
          <w:highlight w:val="none"/>
        </w:rPr>
      </w:pPr>
      <w:r>
        <w:rPr>
          <w:rFonts w:hint="eastAsia" w:ascii="宋体" w:hAnsi="宋体" w:eastAsia="宋体" w:cs="宋体"/>
          <w:spacing w:val="-2"/>
          <w:position w:val="-4"/>
          <w:sz w:val="24"/>
          <w:szCs w:val="24"/>
          <w:highlight w:val="none"/>
        </w:rPr>
        <w:t>问</w:t>
      </w:r>
      <w:r>
        <w:rPr>
          <w:rFonts w:hint="eastAsia" w:ascii="宋体" w:hAnsi="宋体" w:eastAsia="宋体" w:cs="宋体"/>
          <w:position w:val="-4"/>
          <w:sz w:val="24"/>
          <w:szCs w:val="24"/>
          <w:highlight w:val="none"/>
        </w:rPr>
        <w:t>题</w:t>
      </w:r>
      <w:r>
        <w:rPr>
          <w:rFonts w:hint="eastAsia" w:ascii="宋体" w:hAnsi="宋体" w:eastAsia="宋体" w:cs="宋体"/>
          <w:spacing w:val="-2"/>
          <w:position w:val="-4"/>
          <w:sz w:val="24"/>
          <w:szCs w:val="24"/>
          <w:highlight w:val="none"/>
        </w:rPr>
        <w:t>澄</w:t>
      </w:r>
      <w:r>
        <w:rPr>
          <w:rFonts w:hint="eastAsia" w:ascii="宋体" w:hAnsi="宋体" w:eastAsia="宋体" w:cs="宋体"/>
          <w:position w:val="-4"/>
          <w:sz w:val="24"/>
          <w:szCs w:val="24"/>
          <w:highlight w:val="none"/>
        </w:rPr>
        <w:t>清</w:t>
      </w:r>
      <w:r>
        <w:rPr>
          <w:rFonts w:hint="eastAsia" w:ascii="宋体" w:hAnsi="宋体" w:eastAsia="宋体" w:cs="宋体"/>
          <w:spacing w:val="-2"/>
          <w:position w:val="-4"/>
          <w:sz w:val="24"/>
          <w:szCs w:val="24"/>
          <w:highlight w:val="none"/>
        </w:rPr>
        <w:t>通</w:t>
      </w:r>
      <w:r>
        <w:rPr>
          <w:rFonts w:hint="eastAsia" w:ascii="宋体" w:hAnsi="宋体" w:eastAsia="宋体" w:cs="宋体"/>
          <w:position w:val="-4"/>
          <w:sz w:val="24"/>
          <w:szCs w:val="24"/>
          <w:highlight w:val="none"/>
        </w:rPr>
        <w:t>知</w:t>
      </w:r>
      <w:r>
        <w:rPr>
          <w:rFonts w:hint="eastAsia" w:ascii="宋体" w:hAnsi="宋体" w:eastAsia="宋体" w:cs="宋体"/>
          <w:spacing w:val="-2"/>
          <w:position w:val="-4"/>
          <w:sz w:val="24"/>
          <w:szCs w:val="24"/>
          <w:highlight w:val="none"/>
        </w:rPr>
        <w:t>（</w:t>
      </w:r>
      <w:r>
        <w:rPr>
          <w:rFonts w:hint="eastAsia" w:ascii="宋体" w:hAnsi="宋体" w:eastAsia="宋体" w:cs="宋体"/>
          <w:position w:val="-4"/>
          <w:sz w:val="24"/>
          <w:szCs w:val="24"/>
          <w:highlight w:val="none"/>
        </w:rPr>
        <w:t>编</w:t>
      </w:r>
      <w:r>
        <w:rPr>
          <w:rFonts w:hint="eastAsia" w:ascii="宋体" w:hAnsi="宋体" w:eastAsia="宋体" w:cs="宋体"/>
          <w:spacing w:val="-2"/>
          <w:position w:val="-4"/>
          <w:sz w:val="24"/>
          <w:szCs w:val="24"/>
          <w:highlight w:val="none"/>
        </w:rPr>
        <w:t>号</w:t>
      </w:r>
      <w:r>
        <w:rPr>
          <w:rFonts w:hint="eastAsia" w:ascii="宋体" w:hAnsi="宋体" w:eastAsia="宋体" w:cs="宋体"/>
          <w:position w:val="-4"/>
          <w:sz w:val="24"/>
          <w:szCs w:val="24"/>
          <w:highlight w:val="none"/>
        </w:rPr>
        <w:t>：</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position w:val="-4"/>
          <w:sz w:val="24"/>
          <w:szCs w:val="24"/>
          <w:highlight w:val="none"/>
        </w:rPr>
        <w:t>）已收</w:t>
      </w:r>
      <w:r>
        <w:rPr>
          <w:rFonts w:hint="eastAsia" w:ascii="宋体" w:hAnsi="宋体" w:eastAsia="宋体" w:cs="宋体"/>
          <w:spacing w:val="-2"/>
          <w:position w:val="-4"/>
          <w:sz w:val="24"/>
          <w:szCs w:val="24"/>
          <w:highlight w:val="none"/>
        </w:rPr>
        <w:t>悉</w:t>
      </w:r>
      <w:r>
        <w:rPr>
          <w:rFonts w:hint="eastAsia" w:ascii="宋体" w:hAnsi="宋体" w:eastAsia="宋体" w:cs="宋体"/>
          <w:position w:val="-4"/>
          <w:sz w:val="24"/>
          <w:szCs w:val="24"/>
          <w:highlight w:val="none"/>
        </w:rPr>
        <w:t>，</w:t>
      </w:r>
      <w:r>
        <w:rPr>
          <w:rFonts w:hint="eastAsia" w:ascii="宋体" w:hAnsi="宋体" w:eastAsia="宋体" w:cs="宋体"/>
          <w:spacing w:val="-2"/>
          <w:position w:val="-4"/>
          <w:sz w:val="24"/>
          <w:szCs w:val="24"/>
          <w:highlight w:val="none"/>
        </w:rPr>
        <w:t>现</w:t>
      </w:r>
      <w:r>
        <w:rPr>
          <w:rFonts w:hint="eastAsia" w:ascii="宋体" w:hAnsi="宋体" w:eastAsia="宋体" w:cs="宋体"/>
          <w:position w:val="-4"/>
          <w:sz w:val="24"/>
          <w:szCs w:val="24"/>
          <w:highlight w:val="none"/>
        </w:rPr>
        <w:t>澄清</w:t>
      </w:r>
      <w:r>
        <w:rPr>
          <w:rFonts w:hint="eastAsia" w:ascii="宋体" w:hAnsi="宋体" w:eastAsia="宋体" w:cs="宋体"/>
          <w:spacing w:val="-2"/>
          <w:position w:val="-4"/>
          <w:sz w:val="24"/>
          <w:szCs w:val="24"/>
          <w:highlight w:val="none"/>
        </w:rPr>
        <w:t>、</w:t>
      </w:r>
      <w:r>
        <w:rPr>
          <w:rFonts w:hint="eastAsia" w:ascii="宋体" w:hAnsi="宋体" w:eastAsia="宋体" w:cs="宋体"/>
          <w:position w:val="-4"/>
          <w:sz w:val="24"/>
          <w:szCs w:val="24"/>
          <w:highlight w:val="none"/>
        </w:rPr>
        <w:t>说</w:t>
      </w:r>
      <w:r>
        <w:rPr>
          <w:rFonts w:hint="eastAsia" w:ascii="宋体" w:hAnsi="宋体" w:eastAsia="宋体" w:cs="宋体"/>
          <w:spacing w:val="-2"/>
          <w:position w:val="-4"/>
          <w:sz w:val="24"/>
          <w:szCs w:val="24"/>
          <w:highlight w:val="none"/>
        </w:rPr>
        <w:t>明</w:t>
      </w:r>
      <w:r>
        <w:rPr>
          <w:rFonts w:hint="eastAsia" w:ascii="宋体" w:hAnsi="宋体" w:eastAsia="宋体" w:cs="宋体"/>
          <w:position w:val="-4"/>
          <w:sz w:val="24"/>
          <w:szCs w:val="24"/>
          <w:highlight w:val="none"/>
        </w:rPr>
        <w:t>或</w:t>
      </w:r>
      <w:r>
        <w:rPr>
          <w:rFonts w:hint="eastAsia" w:ascii="宋体" w:hAnsi="宋体" w:eastAsia="宋体" w:cs="宋体"/>
          <w:spacing w:val="-2"/>
          <w:position w:val="-4"/>
          <w:sz w:val="24"/>
          <w:szCs w:val="24"/>
          <w:highlight w:val="none"/>
        </w:rPr>
        <w:t>补</w:t>
      </w:r>
      <w:r>
        <w:rPr>
          <w:rFonts w:hint="eastAsia" w:ascii="宋体" w:hAnsi="宋体" w:eastAsia="宋体" w:cs="宋体"/>
          <w:position w:val="-4"/>
          <w:sz w:val="24"/>
          <w:szCs w:val="24"/>
          <w:highlight w:val="none"/>
        </w:rPr>
        <w:t>正</w:t>
      </w:r>
      <w:r>
        <w:rPr>
          <w:rFonts w:hint="eastAsia" w:ascii="宋体" w:hAnsi="宋体" w:eastAsia="宋体" w:cs="宋体"/>
          <w:spacing w:val="-2"/>
          <w:position w:val="-4"/>
          <w:sz w:val="24"/>
          <w:szCs w:val="24"/>
          <w:highlight w:val="none"/>
        </w:rPr>
        <w:t>如</w:t>
      </w:r>
      <w:r>
        <w:rPr>
          <w:rFonts w:hint="eastAsia" w:ascii="宋体" w:hAnsi="宋体" w:eastAsia="宋体" w:cs="宋体"/>
          <w:position w:val="-4"/>
          <w:sz w:val="24"/>
          <w:szCs w:val="24"/>
          <w:highlight w:val="none"/>
        </w:rPr>
        <w:t>下：</w:t>
      </w:r>
    </w:p>
    <w:p w14:paraId="1B90DF5B">
      <w:pPr>
        <w:spacing w:line="360" w:lineRule="auto"/>
        <w:ind w:left="523" w:right="-20"/>
        <w:rPr>
          <w:rFonts w:ascii="宋体" w:hAnsi="宋体" w:eastAsia="宋体" w:cs="宋体"/>
          <w:sz w:val="24"/>
          <w:szCs w:val="24"/>
          <w:highlight w:val="none"/>
        </w:rPr>
      </w:pPr>
      <w:r>
        <w:rPr>
          <w:rFonts w:ascii="宋体" w:hAnsi="宋体" w:eastAsia="宋体" w:cs="宋体"/>
          <w:sz w:val="24"/>
          <w:szCs w:val="24"/>
          <w:highlight w:val="none"/>
        </w:rPr>
        <w:t>1.</w:t>
      </w:r>
    </w:p>
    <w:p w14:paraId="27F6F105">
      <w:pPr>
        <w:spacing w:line="360" w:lineRule="auto"/>
        <w:ind w:left="523" w:right="-20"/>
        <w:rPr>
          <w:rFonts w:ascii="宋体" w:hAnsi="宋体" w:eastAsia="宋体" w:cs="宋体"/>
          <w:sz w:val="24"/>
          <w:szCs w:val="24"/>
          <w:highlight w:val="none"/>
        </w:rPr>
      </w:pPr>
      <w:r>
        <w:rPr>
          <w:rFonts w:ascii="宋体" w:hAnsi="宋体" w:eastAsia="宋体" w:cs="宋体"/>
          <w:sz w:val="24"/>
          <w:szCs w:val="24"/>
          <w:highlight w:val="none"/>
        </w:rPr>
        <w:t>2.</w:t>
      </w:r>
    </w:p>
    <w:p w14:paraId="001DD6D6">
      <w:pPr>
        <w:spacing w:line="360" w:lineRule="auto"/>
        <w:ind w:left="628" w:right="-20"/>
        <w:rPr>
          <w:rFonts w:ascii="宋体" w:hAnsi="宋体" w:eastAsia="宋体" w:cs="宋体"/>
          <w:sz w:val="24"/>
          <w:szCs w:val="24"/>
          <w:highlight w:val="none"/>
        </w:rPr>
      </w:pPr>
      <w:r>
        <w:rPr>
          <w:rFonts w:ascii="宋体" w:hAnsi="宋体" w:eastAsia="宋体" w:cs="宋体"/>
          <w:sz w:val="24"/>
          <w:szCs w:val="24"/>
          <w:highlight w:val="none"/>
        </w:rPr>
        <w:t>.</w:t>
      </w:r>
      <w:r>
        <w:rPr>
          <w:rFonts w:ascii="宋体" w:hAnsi="宋体" w:eastAsia="宋体" w:cs="宋体"/>
          <w:spacing w:val="-2"/>
          <w:sz w:val="24"/>
          <w:szCs w:val="24"/>
          <w:highlight w:val="none"/>
        </w:rPr>
        <w:t>.</w:t>
      </w:r>
      <w:r>
        <w:rPr>
          <w:rFonts w:ascii="宋体" w:hAnsi="宋体" w:eastAsia="宋体" w:cs="宋体"/>
          <w:sz w:val="24"/>
          <w:szCs w:val="24"/>
          <w:highlight w:val="none"/>
        </w:rPr>
        <w:t>....</w:t>
      </w:r>
    </w:p>
    <w:p w14:paraId="50239D21">
      <w:pPr>
        <w:spacing w:line="360" w:lineRule="auto"/>
        <w:ind w:left="100" w:right="43" w:firstLine="420"/>
        <w:rPr>
          <w:rFonts w:ascii="宋体" w:hAnsi="宋体" w:eastAsia="宋体" w:cs="宋体"/>
          <w:sz w:val="24"/>
          <w:szCs w:val="24"/>
          <w:highlight w:val="none"/>
        </w:rPr>
      </w:pPr>
      <w:r>
        <w:rPr>
          <w:rFonts w:hint="eastAsia" w:ascii="宋体" w:hAnsi="宋体" w:eastAsia="宋体" w:cs="宋体"/>
          <w:sz w:val="24"/>
          <w:szCs w:val="24"/>
          <w:highlight w:val="none"/>
        </w:rPr>
        <w:t>上述问题澄清、说</w:t>
      </w:r>
      <w:r>
        <w:rPr>
          <w:rFonts w:hint="eastAsia" w:ascii="宋体" w:hAnsi="宋体" w:eastAsia="宋体" w:cs="宋体"/>
          <w:spacing w:val="-2"/>
          <w:sz w:val="24"/>
          <w:szCs w:val="24"/>
          <w:highlight w:val="none"/>
        </w:rPr>
        <w:t>明</w:t>
      </w:r>
      <w:r>
        <w:rPr>
          <w:rFonts w:hint="eastAsia" w:ascii="宋体" w:hAnsi="宋体" w:eastAsia="宋体" w:cs="宋体"/>
          <w:sz w:val="24"/>
          <w:szCs w:val="24"/>
          <w:highlight w:val="none"/>
        </w:rPr>
        <w:t>或</w:t>
      </w:r>
      <w:r>
        <w:rPr>
          <w:rFonts w:hint="eastAsia" w:ascii="宋体" w:hAnsi="宋体" w:eastAsia="宋体" w:cs="宋体"/>
          <w:spacing w:val="-2"/>
          <w:sz w:val="24"/>
          <w:szCs w:val="24"/>
          <w:highlight w:val="none"/>
        </w:rPr>
        <w:t>补</w:t>
      </w:r>
      <w:r>
        <w:rPr>
          <w:rFonts w:hint="eastAsia" w:ascii="宋体" w:hAnsi="宋体" w:eastAsia="宋体" w:cs="宋体"/>
          <w:sz w:val="24"/>
          <w:szCs w:val="24"/>
          <w:highlight w:val="none"/>
        </w:rPr>
        <w:t>正，不改变我方投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的实质性内容，构</w:t>
      </w:r>
      <w:r>
        <w:rPr>
          <w:rFonts w:hint="eastAsia" w:ascii="宋体" w:hAnsi="宋体" w:eastAsia="宋体" w:cs="宋体"/>
          <w:spacing w:val="-2"/>
          <w:sz w:val="24"/>
          <w:szCs w:val="24"/>
          <w:highlight w:val="none"/>
        </w:rPr>
        <w:t>成</w:t>
      </w:r>
      <w:r>
        <w:rPr>
          <w:rFonts w:hint="eastAsia" w:ascii="宋体" w:hAnsi="宋体" w:eastAsia="宋体" w:cs="宋体"/>
          <w:sz w:val="24"/>
          <w:szCs w:val="24"/>
          <w:highlight w:val="none"/>
        </w:rPr>
        <w:t>我</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投标文件的组成部</w:t>
      </w:r>
      <w:r>
        <w:rPr>
          <w:rFonts w:hint="eastAsia" w:ascii="宋体" w:hAnsi="宋体" w:eastAsia="宋体" w:cs="宋体"/>
          <w:spacing w:val="-2"/>
          <w:sz w:val="24"/>
          <w:szCs w:val="24"/>
          <w:highlight w:val="none"/>
        </w:rPr>
        <w:t>分</w:t>
      </w:r>
      <w:r>
        <w:rPr>
          <w:rFonts w:hint="eastAsia" w:ascii="宋体" w:hAnsi="宋体" w:eastAsia="宋体" w:cs="宋体"/>
          <w:sz w:val="24"/>
          <w:szCs w:val="24"/>
          <w:highlight w:val="none"/>
        </w:rPr>
        <w:t>。</w:t>
      </w:r>
    </w:p>
    <w:p w14:paraId="3D8B1614">
      <w:pPr>
        <w:spacing w:line="360" w:lineRule="auto"/>
        <w:rPr>
          <w:rFonts w:ascii="宋体" w:hAnsi="宋体" w:eastAsia="宋体" w:cs="宋体"/>
          <w:sz w:val="24"/>
          <w:szCs w:val="24"/>
          <w:highlight w:val="none"/>
        </w:rPr>
      </w:pPr>
    </w:p>
    <w:p w14:paraId="213ED399">
      <w:pPr>
        <w:spacing w:line="360" w:lineRule="auto"/>
        <w:rPr>
          <w:rFonts w:ascii="宋体" w:hAnsi="宋体" w:eastAsia="宋体" w:cs="宋体"/>
          <w:sz w:val="24"/>
          <w:szCs w:val="24"/>
          <w:highlight w:val="none"/>
        </w:rPr>
      </w:pPr>
    </w:p>
    <w:p w14:paraId="3CAC41CB">
      <w:pPr>
        <w:spacing w:line="360" w:lineRule="auto"/>
        <w:rPr>
          <w:rFonts w:ascii="宋体" w:hAnsi="宋体" w:eastAsia="宋体" w:cs="宋体"/>
          <w:sz w:val="24"/>
          <w:szCs w:val="24"/>
          <w:highlight w:val="none"/>
        </w:rPr>
      </w:pPr>
    </w:p>
    <w:p w14:paraId="20522891">
      <w:pPr>
        <w:tabs>
          <w:tab w:val="left" w:pos="7140"/>
        </w:tabs>
        <w:spacing w:line="360" w:lineRule="auto"/>
        <w:ind w:left="3043" w:right="-20"/>
        <w:rPr>
          <w:rFonts w:ascii="宋体" w:hAnsi="宋体" w:eastAsia="宋体" w:cs="宋体"/>
          <w:sz w:val="24"/>
          <w:szCs w:val="24"/>
          <w:highlight w:val="none"/>
        </w:rPr>
      </w:pPr>
      <w:r>
        <w:rPr>
          <w:rFonts w:hint="eastAsia" w:ascii="宋体" w:hAnsi="宋体" w:eastAsia="宋体" w:cs="宋体"/>
          <w:position w:val="-4"/>
          <w:sz w:val="24"/>
          <w:szCs w:val="24"/>
          <w:highlight w:val="none"/>
        </w:rPr>
        <w:t>投</w:t>
      </w:r>
      <w:r>
        <w:rPr>
          <w:rFonts w:hint="eastAsia" w:ascii="宋体" w:hAnsi="宋体" w:eastAsia="宋体" w:cs="宋体"/>
          <w:spacing w:val="-2"/>
          <w:position w:val="-4"/>
          <w:sz w:val="24"/>
          <w:szCs w:val="24"/>
          <w:highlight w:val="none"/>
        </w:rPr>
        <w:t>标</w:t>
      </w:r>
      <w:r>
        <w:rPr>
          <w:rFonts w:hint="eastAsia" w:ascii="宋体" w:hAnsi="宋体" w:eastAsia="宋体" w:cs="宋体"/>
          <w:position w:val="-4"/>
          <w:sz w:val="24"/>
          <w:szCs w:val="24"/>
          <w:highlight w:val="none"/>
        </w:rPr>
        <w:t>人：</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hint="eastAsia" w:ascii="宋体" w:hAnsi="宋体" w:eastAsia="宋体" w:cs="宋体"/>
          <w:spacing w:val="1"/>
          <w:position w:val="-4"/>
          <w:sz w:val="24"/>
          <w:szCs w:val="24"/>
          <w:highlight w:val="none"/>
          <w:u w:val="single"/>
        </w:rPr>
        <w:t xml:space="preserve">           </w:t>
      </w:r>
      <w:r>
        <w:rPr>
          <w:rFonts w:hint="eastAsia" w:ascii="宋体" w:hAnsi="宋体" w:eastAsia="宋体" w:cs="宋体"/>
          <w:position w:val="-4"/>
          <w:sz w:val="24"/>
          <w:szCs w:val="24"/>
          <w:highlight w:val="none"/>
        </w:rPr>
        <w:t>（盖公章）</w:t>
      </w:r>
    </w:p>
    <w:p w14:paraId="21E1A1A3">
      <w:pPr>
        <w:tabs>
          <w:tab w:val="left" w:pos="6600"/>
        </w:tabs>
        <w:spacing w:line="360" w:lineRule="auto"/>
        <w:ind w:left="3041" w:right="-20"/>
        <w:rPr>
          <w:rFonts w:ascii="宋体" w:hAnsi="宋体" w:eastAsia="宋体" w:cs="宋体"/>
          <w:sz w:val="24"/>
          <w:szCs w:val="24"/>
          <w:highlight w:val="none"/>
        </w:rPr>
      </w:pPr>
      <w:r>
        <w:rPr>
          <w:rFonts w:hint="eastAsia" w:ascii="宋体" w:hAnsi="宋体" w:eastAsia="宋体" w:cs="宋体"/>
          <w:position w:val="-2"/>
          <w:sz w:val="24"/>
          <w:szCs w:val="24"/>
          <w:highlight w:val="none"/>
        </w:rPr>
        <w:t>法</w:t>
      </w:r>
      <w:r>
        <w:rPr>
          <w:rFonts w:hint="eastAsia" w:ascii="宋体" w:hAnsi="宋体" w:eastAsia="宋体" w:cs="宋体"/>
          <w:spacing w:val="-2"/>
          <w:position w:val="-2"/>
          <w:sz w:val="24"/>
          <w:szCs w:val="24"/>
          <w:highlight w:val="none"/>
        </w:rPr>
        <w:t>定</w:t>
      </w:r>
      <w:r>
        <w:rPr>
          <w:rFonts w:hint="eastAsia" w:ascii="宋体" w:hAnsi="宋体" w:eastAsia="宋体" w:cs="宋体"/>
          <w:position w:val="-2"/>
          <w:sz w:val="24"/>
          <w:szCs w:val="24"/>
          <w:highlight w:val="none"/>
        </w:rPr>
        <w:t>代</w:t>
      </w:r>
      <w:r>
        <w:rPr>
          <w:rFonts w:hint="eastAsia" w:ascii="宋体" w:hAnsi="宋体" w:eastAsia="宋体" w:cs="宋体"/>
          <w:spacing w:val="-2"/>
          <w:position w:val="-2"/>
          <w:sz w:val="24"/>
          <w:szCs w:val="24"/>
          <w:highlight w:val="none"/>
        </w:rPr>
        <w:t>表</w:t>
      </w:r>
      <w:r>
        <w:rPr>
          <w:rFonts w:hint="eastAsia" w:ascii="宋体" w:hAnsi="宋体" w:eastAsia="宋体" w:cs="宋体"/>
          <w:position w:val="-2"/>
          <w:sz w:val="24"/>
          <w:szCs w:val="24"/>
          <w:highlight w:val="none"/>
        </w:rPr>
        <w:t>人</w:t>
      </w:r>
      <w:r>
        <w:rPr>
          <w:rFonts w:hint="eastAsia" w:ascii="宋体" w:hAnsi="宋体" w:eastAsia="宋体" w:cs="宋体"/>
          <w:spacing w:val="-2"/>
          <w:position w:val="-2"/>
          <w:sz w:val="24"/>
          <w:szCs w:val="24"/>
          <w:highlight w:val="none"/>
        </w:rPr>
        <w:t>或</w:t>
      </w:r>
      <w:r>
        <w:rPr>
          <w:rFonts w:hint="eastAsia" w:ascii="宋体" w:hAnsi="宋体" w:eastAsia="宋体" w:cs="宋体"/>
          <w:position w:val="-2"/>
          <w:sz w:val="24"/>
          <w:szCs w:val="24"/>
          <w:highlight w:val="none"/>
        </w:rPr>
        <w:t>其</w:t>
      </w:r>
      <w:r>
        <w:rPr>
          <w:rFonts w:hint="eastAsia" w:ascii="宋体" w:hAnsi="宋体" w:eastAsia="宋体" w:cs="宋体"/>
          <w:spacing w:val="-2"/>
          <w:position w:val="-2"/>
          <w:sz w:val="24"/>
          <w:szCs w:val="24"/>
          <w:highlight w:val="none"/>
        </w:rPr>
        <w:t>委</w:t>
      </w:r>
      <w:r>
        <w:rPr>
          <w:rFonts w:hint="eastAsia" w:ascii="宋体" w:hAnsi="宋体" w:eastAsia="宋体" w:cs="宋体"/>
          <w:position w:val="-2"/>
          <w:sz w:val="24"/>
          <w:szCs w:val="24"/>
          <w:highlight w:val="none"/>
        </w:rPr>
        <w:t>托</w:t>
      </w:r>
      <w:r>
        <w:rPr>
          <w:rFonts w:hint="eastAsia" w:ascii="宋体" w:hAnsi="宋体" w:eastAsia="宋体" w:cs="宋体"/>
          <w:spacing w:val="-2"/>
          <w:position w:val="-2"/>
          <w:sz w:val="24"/>
          <w:szCs w:val="24"/>
          <w:highlight w:val="none"/>
        </w:rPr>
        <w:t>代理</w:t>
      </w:r>
      <w:r>
        <w:rPr>
          <w:rFonts w:hint="eastAsia" w:ascii="宋体" w:hAnsi="宋体" w:eastAsia="宋体" w:cs="宋体"/>
          <w:position w:val="-2"/>
          <w:sz w:val="24"/>
          <w:szCs w:val="24"/>
          <w:highlight w:val="none"/>
        </w:rPr>
        <w:t>人：</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spacing w:val="-2"/>
          <w:position w:val="-2"/>
          <w:sz w:val="24"/>
          <w:szCs w:val="24"/>
          <w:highlight w:val="none"/>
        </w:rPr>
        <w:t>（</w:t>
      </w:r>
      <w:r>
        <w:rPr>
          <w:rFonts w:hint="eastAsia" w:ascii="宋体" w:hAnsi="宋体" w:eastAsia="宋体" w:cs="宋体"/>
          <w:position w:val="-2"/>
          <w:sz w:val="24"/>
          <w:szCs w:val="24"/>
          <w:highlight w:val="none"/>
        </w:rPr>
        <w:t>签</w:t>
      </w:r>
      <w:r>
        <w:rPr>
          <w:rFonts w:hint="eastAsia" w:ascii="宋体" w:hAnsi="宋体" w:eastAsia="宋体" w:cs="宋体"/>
          <w:spacing w:val="-2"/>
          <w:position w:val="-2"/>
          <w:sz w:val="24"/>
          <w:szCs w:val="24"/>
          <w:highlight w:val="none"/>
        </w:rPr>
        <w:t>字</w:t>
      </w:r>
      <w:r>
        <w:rPr>
          <w:rFonts w:hint="eastAsia" w:ascii="宋体" w:hAnsi="宋体" w:eastAsia="宋体" w:cs="宋体"/>
          <w:position w:val="-2"/>
          <w:sz w:val="24"/>
          <w:szCs w:val="24"/>
          <w:highlight w:val="none"/>
        </w:rPr>
        <w:t>）</w:t>
      </w:r>
    </w:p>
    <w:p w14:paraId="595A8E24">
      <w:pPr>
        <w:tabs>
          <w:tab w:val="left" w:pos="7020"/>
        </w:tabs>
        <w:spacing w:line="360" w:lineRule="auto"/>
        <w:ind w:right="-20" w:firstLine="3000" w:firstLineChars="1250"/>
        <w:rPr>
          <w:rFonts w:ascii="宋体" w:hAnsi="宋体" w:eastAsia="宋体" w:cs="宋体"/>
          <w:position w:val="-2"/>
          <w:sz w:val="24"/>
          <w:szCs w:val="24"/>
          <w:highlight w:val="none"/>
        </w:rPr>
      </w:pPr>
      <w:r>
        <w:rPr>
          <w:rFonts w:hint="eastAsia" w:ascii="宋体" w:hAnsi="宋体" w:eastAsia="宋体" w:cs="宋体"/>
          <w:position w:val="-2"/>
          <w:sz w:val="24"/>
          <w:szCs w:val="24"/>
          <w:highlight w:val="none"/>
        </w:rPr>
        <w:t>日期：</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年</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月</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日</w:t>
      </w:r>
    </w:p>
    <w:p w14:paraId="26CB48DA">
      <w:pPr>
        <w:spacing w:line="360" w:lineRule="auto"/>
        <w:jc w:val="center"/>
        <w:rPr>
          <w:rFonts w:ascii="宋体" w:hAnsi="宋体" w:eastAsia="宋体"/>
          <w:bCs/>
          <w:sz w:val="24"/>
          <w:szCs w:val="24"/>
          <w:highlight w:val="none"/>
        </w:rPr>
      </w:pPr>
    </w:p>
    <w:p w14:paraId="3B892CC3">
      <w:pPr>
        <w:widowControl/>
        <w:jc w:val="left"/>
        <w:rPr>
          <w:rFonts w:ascii="宋体" w:hAnsi="宋体" w:eastAsia="宋体"/>
          <w:bCs/>
          <w:sz w:val="24"/>
          <w:szCs w:val="24"/>
          <w:highlight w:val="none"/>
        </w:rPr>
      </w:pPr>
      <w:r>
        <w:rPr>
          <w:rFonts w:ascii="宋体" w:hAnsi="宋体" w:eastAsia="宋体"/>
          <w:bCs/>
          <w:sz w:val="24"/>
          <w:szCs w:val="24"/>
          <w:highlight w:val="none"/>
        </w:rPr>
        <w:br w:type="page"/>
      </w:r>
    </w:p>
    <w:p w14:paraId="446F8914">
      <w:pPr>
        <w:pStyle w:val="3"/>
        <w:rPr>
          <w:color w:val="auto"/>
          <w:highlight w:val="none"/>
        </w:rPr>
      </w:pPr>
      <w:bookmarkStart w:id="286" w:name="_Toc225409568"/>
      <w:bookmarkStart w:id="287" w:name="_Toc36466619"/>
      <w:bookmarkStart w:id="288" w:name="_Toc532629093"/>
      <w:bookmarkStart w:id="289" w:name="_Toc27478"/>
      <w:bookmarkStart w:id="290" w:name="_Toc225410681"/>
      <w:bookmarkStart w:id="291" w:name="_Toc218828569"/>
      <w:bookmarkStart w:id="292" w:name="_Toc225411535"/>
      <w:bookmarkStart w:id="293" w:name="_Toc225412053"/>
      <w:bookmarkStart w:id="294" w:name="_Toc495555561"/>
      <w:bookmarkStart w:id="295" w:name="_Toc225410049"/>
      <w:bookmarkStart w:id="296" w:name="_Toc210327519"/>
      <w:bookmarkStart w:id="297" w:name="_Toc225415538"/>
      <w:bookmarkStart w:id="298" w:name="_Toc210364705"/>
      <w:bookmarkStart w:id="299" w:name="_Toc210355381"/>
      <w:bookmarkStart w:id="300" w:name="_Toc225409717"/>
      <w:bookmarkStart w:id="301" w:name="_Toc11108"/>
      <w:bookmarkStart w:id="302" w:name="_Toc225415739"/>
      <w:bookmarkStart w:id="303" w:name="_Toc51055769"/>
      <w:bookmarkStart w:id="304" w:name="_Toc162619012"/>
      <w:bookmarkStart w:id="305" w:name="_Toc225396600"/>
      <w:bookmarkStart w:id="306" w:name="_Toc225415940"/>
      <w:bookmarkStart w:id="307" w:name="_Toc225409833"/>
      <w:bookmarkStart w:id="308" w:name="_Toc225412255"/>
      <w:bookmarkStart w:id="309" w:name="_Toc27948999"/>
      <w:bookmarkStart w:id="310" w:name="_Toc225411457"/>
      <w:bookmarkStart w:id="311" w:name="_Toc45266451"/>
      <w:bookmarkStart w:id="312" w:name="_Toc162622247"/>
      <w:bookmarkStart w:id="313" w:name="_Toc168286983"/>
      <w:r>
        <w:rPr>
          <w:rFonts w:hint="eastAsia"/>
          <w:color w:val="auto"/>
          <w:highlight w:val="none"/>
        </w:rPr>
        <w:t>附件四：中标通知书</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0E15BD5">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以广州建筑工程监理有限公司格式为准</w:t>
      </w:r>
    </w:p>
    <w:p w14:paraId="48A949CE">
      <w:pPr>
        <w:spacing w:line="360" w:lineRule="auto"/>
        <w:rPr>
          <w:rFonts w:ascii="宋体" w:hAnsi="宋体" w:eastAsia="宋体"/>
          <w:sz w:val="24"/>
          <w:szCs w:val="24"/>
          <w:highlight w:val="none"/>
        </w:rPr>
      </w:pPr>
    </w:p>
    <w:p w14:paraId="41483CD6">
      <w:pPr>
        <w:pStyle w:val="26"/>
        <w:rPr>
          <w:rFonts w:ascii="宋体" w:hAnsi="宋体"/>
          <w:highlight w:val="none"/>
        </w:rPr>
        <w:sectPr>
          <w:pgSz w:w="11906" w:h="16838"/>
          <w:pgMar w:top="1440" w:right="1800" w:bottom="1440" w:left="1800" w:header="720" w:footer="720" w:gutter="0"/>
          <w:cols w:space="720" w:num="1"/>
          <w:docGrid w:linePitch="285" w:charSpace="0"/>
        </w:sectPr>
      </w:pPr>
    </w:p>
    <w:p w14:paraId="6EECD6A7">
      <w:pPr>
        <w:pStyle w:val="2"/>
        <w:rPr>
          <w:color w:val="auto"/>
          <w:highlight w:val="none"/>
        </w:rPr>
      </w:pPr>
      <w:bookmarkStart w:id="314" w:name="_Toc29181"/>
      <w:r>
        <w:rPr>
          <w:rFonts w:hint="eastAsia"/>
          <w:color w:val="auto"/>
          <w:highlight w:val="none"/>
        </w:rPr>
        <w:t>第三章</w:t>
      </w:r>
      <w:r>
        <w:rPr>
          <w:color w:val="auto"/>
          <w:highlight w:val="none"/>
        </w:rPr>
        <w:t xml:space="preserve"> </w:t>
      </w:r>
      <w:r>
        <w:rPr>
          <w:rFonts w:hint="eastAsia"/>
          <w:color w:val="auto"/>
          <w:highlight w:val="none"/>
        </w:rPr>
        <w:t>评标办法（综合评估法）</w:t>
      </w:r>
      <w:bookmarkEnd w:id="314"/>
    </w:p>
    <w:p w14:paraId="1925351E">
      <w:pPr>
        <w:pStyle w:val="3"/>
        <w:jc w:val="center"/>
        <w:rPr>
          <w:color w:val="auto"/>
          <w:highlight w:val="none"/>
        </w:rPr>
      </w:pPr>
      <w:bookmarkStart w:id="315" w:name="_Toc11858"/>
      <w:r>
        <w:rPr>
          <w:rFonts w:hint="eastAsia"/>
          <w:color w:val="auto"/>
          <w:highlight w:val="none"/>
        </w:rPr>
        <w:t>评标办法前附表</w:t>
      </w:r>
      <w:bookmarkEnd w:id="315"/>
    </w:p>
    <w:tbl>
      <w:tblPr>
        <w:tblStyle w:val="28"/>
        <w:tblW w:w="10005" w:type="dxa"/>
        <w:tblInd w:w="-5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113"/>
        <w:gridCol w:w="1304"/>
        <w:gridCol w:w="1568"/>
        <w:gridCol w:w="6219"/>
        <w:gridCol w:w="7"/>
      </w:tblGrid>
      <w:tr w14:paraId="42F2D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54" w:hRule="atLeast"/>
        </w:trPr>
        <w:tc>
          <w:tcPr>
            <w:tcW w:w="2211" w:type="dxa"/>
            <w:gridSpan w:val="3"/>
            <w:tcBorders>
              <w:top w:val="single" w:color="auto" w:sz="4" w:space="0"/>
              <w:bottom w:val="single" w:color="auto" w:sz="4" w:space="0"/>
              <w:right w:val="single" w:color="auto" w:sz="4" w:space="0"/>
            </w:tcBorders>
            <w:noWrap/>
            <w:vAlign w:val="center"/>
          </w:tcPr>
          <w:p w14:paraId="0D38F3A4">
            <w:pPr>
              <w:widowControl/>
              <w:ind w:firstLine="562"/>
              <w:jc w:val="center"/>
              <w:rPr>
                <w:rFonts w:ascii="宋体" w:hAnsi="宋体" w:eastAsia="宋体"/>
                <w:b/>
                <w:bCs/>
                <w:sz w:val="28"/>
                <w:szCs w:val="28"/>
                <w:highlight w:val="none"/>
              </w:rPr>
            </w:pPr>
            <w:r>
              <w:rPr>
                <w:rFonts w:ascii="宋体" w:hAnsi="宋体" w:eastAsia="宋体"/>
                <w:b/>
                <w:bCs/>
                <w:sz w:val="28"/>
                <w:szCs w:val="28"/>
                <w:highlight w:val="none"/>
              </w:rPr>
              <w:t>条款号</w:t>
            </w:r>
          </w:p>
        </w:tc>
        <w:tc>
          <w:tcPr>
            <w:tcW w:w="1568" w:type="dxa"/>
            <w:tcBorders>
              <w:top w:val="single" w:color="auto" w:sz="4" w:space="0"/>
              <w:left w:val="single" w:color="auto" w:sz="4" w:space="0"/>
              <w:bottom w:val="single" w:color="auto" w:sz="4" w:space="0"/>
              <w:right w:val="single" w:color="auto" w:sz="4" w:space="0"/>
            </w:tcBorders>
            <w:noWrap/>
            <w:vAlign w:val="center"/>
          </w:tcPr>
          <w:p w14:paraId="422FEABA">
            <w:pPr>
              <w:widowControl/>
              <w:ind w:firstLine="562"/>
              <w:jc w:val="center"/>
              <w:rPr>
                <w:rFonts w:ascii="宋体" w:hAnsi="宋体" w:eastAsia="宋体"/>
                <w:b/>
                <w:bCs/>
                <w:sz w:val="28"/>
                <w:szCs w:val="28"/>
                <w:highlight w:val="none"/>
              </w:rPr>
            </w:pPr>
            <w:r>
              <w:rPr>
                <w:rFonts w:ascii="宋体" w:hAnsi="宋体" w:eastAsia="宋体"/>
                <w:b/>
                <w:bCs/>
                <w:sz w:val="28"/>
                <w:szCs w:val="28"/>
                <w:highlight w:val="none"/>
              </w:rPr>
              <w:t>评审因素</w:t>
            </w:r>
          </w:p>
        </w:tc>
        <w:tc>
          <w:tcPr>
            <w:tcW w:w="6219" w:type="dxa"/>
            <w:tcBorders>
              <w:top w:val="single" w:color="auto" w:sz="4" w:space="0"/>
              <w:left w:val="single" w:color="auto" w:sz="4" w:space="0"/>
              <w:bottom w:val="single" w:color="auto" w:sz="4" w:space="0"/>
              <w:right w:val="single" w:color="auto" w:sz="4" w:space="0"/>
            </w:tcBorders>
            <w:noWrap/>
            <w:vAlign w:val="center"/>
          </w:tcPr>
          <w:p w14:paraId="68A1B360">
            <w:pPr>
              <w:widowControl/>
              <w:ind w:firstLine="562"/>
              <w:jc w:val="center"/>
              <w:rPr>
                <w:rFonts w:ascii="宋体" w:hAnsi="宋体" w:eastAsia="宋体"/>
                <w:b/>
                <w:bCs/>
                <w:sz w:val="28"/>
                <w:szCs w:val="28"/>
                <w:highlight w:val="none"/>
              </w:rPr>
            </w:pPr>
            <w:r>
              <w:rPr>
                <w:rFonts w:ascii="宋体" w:hAnsi="宋体" w:eastAsia="宋体"/>
                <w:b/>
                <w:bCs/>
                <w:sz w:val="28"/>
                <w:szCs w:val="28"/>
                <w:highlight w:val="none"/>
              </w:rPr>
              <w:t>评审标准</w:t>
            </w:r>
          </w:p>
        </w:tc>
      </w:tr>
      <w:tr w14:paraId="733BC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06"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720F918F">
            <w:pPr>
              <w:widowControl/>
              <w:ind w:firstLine="420"/>
              <w:jc w:val="left"/>
              <w:rPr>
                <w:rFonts w:ascii="宋体" w:hAnsi="宋体" w:eastAsia="宋体"/>
                <w:highlight w:val="none"/>
              </w:rPr>
            </w:pPr>
            <w:r>
              <w:rPr>
                <w:rFonts w:ascii="宋体" w:hAnsi="宋体" w:eastAsia="宋体"/>
                <w:highlight w:val="none"/>
              </w:rPr>
              <w:t>1</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12A6D49F">
            <w:pPr>
              <w:widowControl/>
              <w:ind w:firstLine="420"/>
              <w:jc w:val="left"/>
              <w:rPr>
                <w:rFonts w:ascii="宋体" w:hAnsi="宋体" w:eastAsia="宋体"/>
                <w:highlight w:val="none"/>
              </w:rPr>
            </w:pPr>
            <w:r>
              <w:rPr>
                <w:rFonts w:ascii="宋体" w:hAnsi="宋体" w:eastAsia="宋体"/>
                <w:highlight w:val="none"/>
              </w:rPr>
              <w:t>评标方法</w:t>
            </w:r>
          </w:p>
        </w:tc>
        <w:tc>
          <w:tcPr>
            <w:tcW w:w="1568" w:type="dxa"/>
            <w:tcBorders>
              <w:top w:val="single" w:color="auto" w:sz="4" w:space="0"/>
              <w:left w:val="single" w:color="auto" w:sz="4" w:space="0"/>
              <w:bottom w:val="single" w:color="auto" w:sz="4" w:space="0"/>
              <w:right w:val="single" w:color="auto" w:sz="4" w:space="0"/>
            </w:tcBorders>
            <w:noWrap/>
            <w:vAlign w:val="center"/>
          </w:tcPr>
          <w:p w14:paraId="1A607640">
            <w:pPr>
              <w:widowControl/>
              <w:ind w:firstLine="420"/>
              <w:jc w:val="left"/>
              <w:rPr>
                <w:rFonts w:ascii="宋体" w:hAnsi="宋体" w:eastAsia="宋体"/>
                <w:highlight w:val="none"/>
              </w:rPr>
            </w:pPr>
            <w:r>
              <w:rPr>
                <w:rFonts w:ascii="宋体" w:hAnsi="宋体" w:eastAsia="宋体"/>
                <w:highlight w:val="none"/>
              </w:rPr>
              <w:t>中标候选人排序方法</w:t>
            </w:r>
          </w:p>
        </w:tc>
        <w:tc>
          <w:tcPr>
            <w:tcW w:w="6219" w:type="dxa"/>
            <w:tcBorders>
              <w:top w:val="single" w:color="auto" w:sz="4" w:space="0"/>
              <w:left w:val="single" w:color="auto" w:sz="4" w:space="0"/>
              <w:bottom w:val="single" w:color="auto" w:sz="4" w:space="0"/>
              <w:right w:val="single" w:color="auto" w:sz="4" w:space="0"/>
            </w:tcBorders>
            <w:noWrap/>
          </w:tcPr>
          <w:p w14:paraId="109A8AB9">
            <w:pPr>
              <w:widowControl/>
              <w:ind w:firstLine="420"/>
              <w:jc w:val="left"/>
              <w:rPr>
                <w:rFonts w:ascii="宋体" w:hAnsi="宋体" w:eastAsia="宋体"/>
                <w:highlight w:val="none"/>
              </w:rPr>
            </w:pPr>
            <w:r>
              <w:rPr>
                <w:rFonts w:ascii="宋体" w:hAnsi="宋体" w:eastAsia="宋体"/>
                <w:highlight w:val="none"/>
              </w:rPr>
              <w:t>1.本次评标采用综合评估法。</w:t>
            </w:r>
          </w:p>
          <w:p w14:paraId="5B26EF8D">
            <w:pPr>
              <w:widowControl/>
              <w:ind w:firstLine="420"/>
              <w:jc w:val="left"/>
              <w:rPr>
                <w:rFonts w:ascii="宋体" w:hAnsi="宋体" w:eastAsia="宋体"/>
                <w:highlight w:val="none"/>
              </w:rPr>
            </w:pPr>
            <w:r>
              <w:rPr>
                <w:rFonts w:ascii="宋体" w:hAnsi="宋体" w:eastAsia="宋体"/>
                <w:highlight w:val="none"/>
              </w:rPr>
              <w:t>2.投标人</w:t>
            </w:r>
            <w:r>
              <w:rPr>
                <w:rFonts w:hint="eastAsia" w:ascii="宋体" w:hAnsi="宋体" w:eastAsia="宋体"/>
                <w:highlight w:val="none"/>
              </w:rPr>
              <w:t>综合得分由高到低排序前</w:t>
            </w:r>
            <w:r>
              <w:rPr>
                <w:rFonts w:ascii="宋体" w:hAnsi="宋体" w:eastAsia="宋体"/>
                <w:highlight w:val="none"/>
              </w:rPr>
              <w:t>3名作为第一、第二、第三中标候选人。综合评分相等时，以投标报价低的优先；投标报价也相等的，以技术服务方案得分高的优先；如果技术服务方案得分也相等，</w:t>
            </w:r>
            <w:r>
              <w:rPr>
                <w:rFonts w:hint="eastAsia" w:ascii="宋体" w:hAnsi="宋体" w:eastAsia="宋体"/>
                <w:highlight w:val="none"/>
              </w:rPr>
              <w:t>则由评标委员会采用记名投票表决推荐排名优先的投标人。</w:t>
            </w:r>
          </w:p>
        </w:tc>
      </w:tr>
      <w:tr w14:paraId="0B1F0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446" w:hRule="atLeast"/>
        </w:trPr>
        <w:tc>
          <w:tcPr>
            <w:tcW w:w="794" w:type="dxa"/>
            <w:vMerge w:val="restart"/>
            <w:tcBorders>
              <w:top w:val="single" w:color="auto" w:sz="4" w:space="0"/>
              <w:right w:val="single" w:color="auto" w:sz="4" w:space="0"/>
            </w:tcBorders>
            <w:noWrap/>
            <w:vAlign w:val="center"/>
          </w:tcPr>
          <w:p w14:paraId="0A310C35">
            <w:pPr>
              <w:widowControl/>
              <w:ind w:firstLine="420"/>
              <w:jc w:val="left"/>
              <w:rPr>
                <w:rFonts w:ascii="宋体" w:hAnsi="宋体" w:eastAsia="宋体"/>
                <w:highlight w:val="none"/>
              </w:rPr>
            </w:pPr>
            <w:r>
              <w:rPr>
                <w:rFonts w:ascii="宋体" w:hAnsi="宋体" w:eastAsia="宋体"/>
                <w:highlight w:val="none"/>
              </w:rPr>
              <w:t>2.1.1</w:t>
            </w:r>
          </w:p>
        </w:tc>
        <w:tc>
          <w:tcPr>
            <w:tcW w:w="1417" w:type="dxa"/>
            <w:gridSpan w:val="2"/>
            <w:vMerge w:val="restart"/>
            <w:tcBorders>
              <w:top w:val="single" w:color="auto" w:sz="4" w:space="0"/>
              <w:right w:val="single" w:color="auto" w:sz="4" w:space="0"/>
            </w:tcBorders>
            <w:noWrap/>
            <w:vAlign w:val="center"/>
          </w:tcPr>
          <w:p w14:paraId="48464733">
            <w:pPr>
              <w:widowControl/>
              <w:ind w:firstLine="420"/>
              <w:jc w:val="left"/>
              <w:rPr>
                <w:rFonts w:ascii="宋体" w:hAnsi="宋体" w:eastAsia="宋体"/>
                <w:highlight w:val="none"/>
              </w:rPr>
            </w:pPr>
            <w:r>
              <w:rPr>
                <w:rFonts w:ascii="宋体" w:hAnsi="宋体" w:eastAsia="宋体"/>
                <w:highlight w:val="none"/>
              </w:rPr>
              <w:t>形式评审标准</w:t>
            </w:r>
          </w:p>
        </w:tc>
        <w:tc>
          <w:tcPr>
            <w:tcW w:w="1568" w:type="dxa"/>
            <w:tcBorders>
              <w:top w:val="single" w:color="auto" w:sz="4" w:space="0"/>
              <w:left w:val="single" w:color="auto" w:sz="4" w:space="0"/>
              <w:bottom w:val="single" w:color="auto" w:sz="4" w:space="0"/>
              <w:right w:val="single" w:color="auto" w:sz="4" w:space="0"/>
            </w:tcBorders>
            <w:noWrap/>
            <w:vAlign w:val="center"/>
          </w:tcPr>
          <w:p w14:paraId="108AB80E">
            <w:pPr>
              <w:widowControl/>
              <w:ind w:firstLine="420"/>
              <w:jc w:val="left"/>
              <w:rPr>
                <w:rFonts w:ascii="宋体" w:hAnsi="宋体" w:eastAsia="宋体"/>
                <w:highlight w:val="none"/>
              </w:rPr>
            </w:pPr>
            <w:r>
              <w:rPr>
                <w:rFonts w:ascii="宋体" w:hAnsi="宋体" w:eastAsia="宋体"/>
                <w:highlight w:val="none"/>
              </w:rPr>
              <w:t>投标人名称</w:t>
            </w:r>
          </w:p>
        </w:tc>
        <w:tc>
          <w:tcPr>
            <w:tcW w:w="6219" w:type="dxa"/>
            <w:tcBorders>
              <w:top w:val="single" w:color="auto" w:sz="4" w:space="0"/>
              <w:left w:val="single" w:color="auto" w:sz="4" w:space="0"/>
              <w:bottom w:val="single" w:color="auto" w:sz="4" w:space="0"/>
              <w:right w:val="single" w:color="auto" w:sz="4" w:space="0"/>
            </w:tcBorders>
            <w:noWrap/>
            <w:vAlign w:val="center"/>
          </w:tcPr>
          <w:p w14:paraId="5E773F31">
            <w:pPr>
              <w:widowControl/>
              <w:ind w:firstLine="420"/>
              <w:jc w:val="left"/>
              <w:rPr>
                <w:rFonts w:ascii="宋体" w:hAnsi="宋体" w:eastAsia="宋体"/>
                <w:highlight w:val="none"/>
              </w:rPr>
            </w:pPr>
            <w:r>
              <w:rPr>
                <w:rFonts w:ascii="宋体" w:hAnsi="宋体" w:eastAsia="宋体"/>
                <w:highlight w:val="none"/>
              </w:rPr>
              <w:t>与营业执照</w:t>
            </w:r>
            <w:r>
              <w:rPr>
                <w:rFonts w:hint="eastAsia" w:ascii="宋体" w:hAnsi="宋体" w:eastAsia="宋体"/>
                <w:highlight w:val="none"/>
              </w:rPr>
              <w:t>或者法人证书</w:t>
            </w:r>
            <w:r>
              <w:rPr>
                <w:rFonts w:ascii="宋体" w:hAnsi="宋体" w:eastAsia="宋体"/>
                <w:highlight w:val="none"/>
              </w:rPr>
              <w:t>、资质证书</w:t>
            </w:r>
            <w:r>
              <w:rPr>
                <w:rFonts w:hint="eastAsia" w:ascii="宋体" w:hAnsi="宋体" w:eastAsia="宋体"/>
                <w:highlight w:val="none"/>
              </w:rPr>
              <w:t>（如要求）</w:t>
            </w:r>
            <w:r>
              <w:rPr>
                <w:rFonts w:ascii="宋体" w:hAnsi="宋体" w:eastAsia="宋体"/>
                <w:highlight w:val="none"/>
              </w:rPr>
              <w:t>一致</w:t>
            </w:r>
            <w:r>
              <w:rPr>
                <w:rFonts w:hint="eastAsia" w:ascii="宋体" w:hAnsi="宋体" w:eastAsia="宋体"/>
                <w:highlight w:val="none"/>
              </w:rPr>
              <w:t>。</w:t>
            </w:r>
          </w:p>
        </w:tc>
      </w:tr>
      <w:tr w14:paraId="7D43F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14:paraId="0847E4F1">
            <w:pPr>
              <w:widowControl/>
              <w:ind w:firstLine="420"/>
              <w:jc w:val="left"/>
              <w:rPr>
                <w:rFonts w:ascii="宋体" w:hAnsi="宋体" w:eastAsia="宋体"/>
                <w:highlight w:val="none"/>
              </w:rPr>
            </w:pPr>
          </w:p>
        </w:tc>
        <w:tc>
          <w:tcPr>
            <w:tcW w:w="1417" w:type="dxa"/>
            <w:gridSpan w:val="2"/>
            <w:vMerge w:val="continue"/>
            <w:tcBorders>
              <w:right w:val="single" w:color="auto" w:sz="4" w:space="0"/>
            </w:tcBorders>
            <w:noWrap/>
            <w:vAlign w:val="center"/>
          </w:tcPr>
          <w:p w14:paraId="6C13819E">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54B68375">
            <w:pPr>
              <w:widowControl/>
              <w:ind w:firstLine="420"/>
              <w:jc w:val="left"/>
              <w:rPr>
                <w:rFonts w:ascii="宋体" w:hAnsi="宋体" w:eastAsia="宋体"/>
                <w:highlight w:val="none"/>
              </w:rPr>
            </w:pPr>
            <w:r>
              <w:rPr>
                <w:rFonts w:ascii="宋体" w:hAnsi="宋体" w:eastAsia="宋体"/>
                <w:highlight w:val="none"/>
              </w:rPr>
              <w:t>投标函</w:t>
            </w:r>
            <w:r>
              <w:rPr>
                <w:rFonts w:hint="eastAsia" w:ascii="宋体" w:hAnsi="宋体" w:eastAsia="宋体"/>
                <w:highlight w:val="none"/>
              </w:rPr>
              <w:t>及投标函附录</w:t>
            </w:r>
            <w:r>
              <w:rPr>
                <w:rFonts w:ascii="宋体" w:hAnsi="宋体" w:eastAsia="宋体"/>
                <w:highlight w:val="none"/>
              </w:rPr>
              <w:t>签字盖章</w:t>
            </w:r>
          </w:p>
        </w:tc>
        <w:tc>
          <w:tcPr>
            <w:tcW w:w="6219" w:type="dxa"/>
            <w:tcBorders>
              <w:top w:val="single" w:color="auto" w:sz="4" w:space="0"/>
              <w:left w:val="single" w:color="auto" w:sz="4" w:space="0"/>
              <w:bottom w:val="single" w:color="auto" w:sz="4" w:space="0"/>
              <w:right w:val="single" w:color="auto" w:sz="4" w:space="0"/>
            </w:tcBorders>
            <w:noWrap/>
            <w:vAlign w:val="center"/>
          </w:tcPr>
          <w:p w14:paraId="75FAB956">
            <w:pPr>
              <w:widowControl/>
              <w:ind w:firstLine="420"/>
              <w:jc w:val="left"/>
              <w:rPr>
                <w:rFonts w:ascii="宋体" w:hAnsi="宋体" w:eastAsia="宋体"/>
                <w:highlight w:val="none"/>
              </w:rPr>
            </w:pPr>
            <w:r>
              <w:rPr>
                <w:rFonts w:ascii="宋体" w:hAnsi="宋体" w:eastAsia="宋体"/>
                <w:highlight w:val="none"/>
              </w:rPr>
              <w:t>有法定代表人或其委托代理人签字或签章</w:t>
            </w:r>
            <w:r>
              <w:rPr>
                <w:rFonts w:hint="eastAsia" w:ascii="宋体" w:hAnsi="宋体" w:eastAsia="宋体"/>
                <w:highlight w:val="none"/>
              </w:rPr>
              <w:t>及</w:t>
            </w:r>
            <w:r>
              <w:rPr>
                <w:rFonts w:ascii="宋体" w:hAnsi="宋体" w:eastAsia="宋体"/>
                <w:highlight w:val="none"/>
              </w:rPr>
              <w:t>加</w:t>
            </w:r>
            <w:r>
              <w:rPr>
                <w:rFonts w:hint="eastAsia" w:ascii="宋体" w:hAnsi="宋体" w:eastAsia="宋体"/>
                <w:highlight w:val="none"/>
              </w:rPr>
              <w:t>盖公章</w:t>
            </w:r>
            <w:r>
              <w:rPr>
                <w:rFonts w:ascii="宋体" w:hAnsi="宋体" w:eastAsia="宋体"/>
                <w:highlight w:val="none"/>
              </w:rPr>
              <w:t>。由法定代表人签字或签章的，应附法定代表人身份证明，由代理人签字或签章的，应附授权委托书，身份证明或授权委托书应符合第六章“投标文件格式”的规定</w:t>
            </w:r>
            <w:r>
              <w:rPr>
                <w:rFonts w:hint="eastAsia" w:ascii="宋体" w:hAnsi="宋体" w:eastAsia="宋体"/>
                <w:highlight w:val="none"/>
              </w:rPr>
              <w:t>。</w:t>
            </w:r>
          </w:p>
        </w:tc>
      </w:tr>
      <w:tr w14:paraId="57EF8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14:paraId="4F6A1EEA">
            <w:pPr>
              <w:widowControl/>
              <w:ind w:firstLine="420"/>
              <w:jc w:val="left"/>
              <w:rPr>
                <w:rFonts w:ascii="宋体" w:hAnsi="宋体" w:eastAsia="宋体"/>
                <w:highlight w:val="none"/>
              </w:rPr>
            </w:pPr>
          </w:p>
        </w:tc>
        <w:tc>
          <w:tcPr>
            <w:tcW w:w="1417" w:type="dxa"/>
            <w:gridSpan w:val="2"/>
            <w:vMerge w:val="continue"/>
            <w:tcBorders>
              <w:right w:val="single" w:color="auto" w:sz="4" w:space="0"/>
            </w:tcBorders>
            <w:noWrap/>
            <w:vAlign w:val="center"/>
          </w:tcPr>
          <w:p w14:paraId="41FC291B">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39763EE2">
            <w:pPr>
              <w:widowControl/>
              <w:ind w:firstLine="420"/>
              <w:jc w:val="left"/>
              <w:rPr>
                <w:rFonts w:ascii="宋体" w:hAnsi="宋体" w:eastAsia="宋体"/>
                <w:highlight w:val="none"/>
              </w:rPr>
            </w:pPr>
            <w:r>
              <w:rPr>
                <w:rFonts w:ascii="宋体" w:hAnsi="宋体" w:eastAsia="宋体"/>
                <w:highlight w:val="none"/>
              </w:rPr>
              <w:t>投标文件格式</w:t>
            </w:r>
          </w:p>
        </w:tc>
        <w:tc>
          <w:tcPr>
            <w:tcW w:w="6219" w:type="dxa"/>
            <w:tcBorders>
              <w:top w:val="single" w:color="auto" w:sz="4" w:space="0"/>
              <w:left w:val="single" w:color="auto" w:sz="4" w:space="0"/>
              <w:bottom w:val="single" w:color="auto" w:sz="4" w:space="0"/>
              <w:right w:val="single" w:color="auto" w:sz="4" w:space="0"/>
            </w:tcBorders>
            <w:noWrap/>
            <w:vAlign w:val="center"/>
          </w:tcPr>
          <w:p w14:paraId="771F078B">
            <w:pPr>
              <w:widowControl/>
              <w:ind w:firstLine="420"/>
              <w:jc w:val="left"/>
              <w:rPr>
                <w:rFonts w:ascii="宋体" w:hAnsi="宋体" w:eastAsia="宋体"/>
                <w:highlight w:val="none"/>
              </w:rPr>
            </w:pPr>
            <w:r>
              <w:rPr>
                <w:rFonts w:ascii="宋体" w:hAnsi="宋体" w:eastAsia="宋体"/>
                <w:highlight w:val="none"/>
              </w:rPr>
              <w:t>符合第六章“投标文件格式”的规定</w:t>
            </w:r>
            <w:r>
              <w:rPr>
                <w:rFonts w:hint="eastAsia" w:ascii="宋体" w:hAnsi="宋体" w:eastAsia="宋体"/>
                <w:highlight w:val="none"/>
              </w:rPr>
              <w:t>。</w:t>
            </w:r>
          </w:p>
        </w:tc>
      </w:tr>
      <w:tr w14:paraId="79968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14:paraId="5659661A">
            <w:pPr>
              <w:widowControl/>
              <w:ind w:firstLine="420"/>
              <w:jc w:val="left"/>
              <w:rPr>
                <w:rFonts w:ascii="宋体" w:hAnsi="宋体" w:eastAsia="宋体"/>
                <w:highlight w:val="none"/>
              </w:rPr>
            </w:pPr>
          </w:p>
        </w:tc>
        <w:tc>
          <w:tcPr>
            <w:tcW w:w="1417" w:type="dxa"/>
            <w:gridSpan w:val="2"/>
            <w:vMerge w:val="continue"/>
            <w:tcBorders>
              <w:right w:val="single" w:color="auto" w:sz="4" w:space="0"/>
            </w:tcBorders>
            <w:noWrap/>
            <w:vAlign w:val="center"/>
          </w:tcPr>
          <w:p w14:paraId="0DF65DFF">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5C85BA21">
            <w:pPr>
              <w:widowControl/>
              <w:ind w:firstLine="420"/>
              <w:jc w:val="left"/>
              <w:rPr>
                <w:rFonts w:ascii="宋体" w:hAnsi="宋体" w:eastAsia="宋体"/>
                <w:highlight w:val="none"/>
              </w:rPr>
            </w:pPr>
            <w:r>
              <w:rPr>
                <w:rFonts w:ascii="宋体" w:hAnsi="宋体" w:eastAsia="宋体"/>
                <w:highlight w:val="none"/>
              </w:rPr>
              <w:t>备选投标方案</w:t>
            </w:r>
          </w:p>
        </w:tc>
        <w:tc>
          <w:tcPr>
            <w:tcW w:w="6219" w:type="dxa"/>
            <w:tcBorders>
              <w:top w:val="single" w:color="auto" w:sz="4" w:space="0"/>
              <w:left w:val="single" w:color="auto" w:sz="4" w:space="0"/>
              <w:bottom w:val="single" w:color="auto" w:sz="4" w:space="0"/>
              <w:right w:val="single" w:color="auto" w:sz="4" w:space="0"/>
            </w:tcBorders>
            <w:noWrap/>
            <w:vAlign w:val="center"/>
          </w:tcPr>
          <w:p w14:paraId="372BBFC6">
            <w:pPr>
              <w:widowControl/>
              <w:ind w:firstLine="420"/>
              <w:jc w:val="left"/>
              <w:rPr>
                <w:rFonts w:ascii="宋体" w:hAnsi="宋体" w:eastAsia="宋体"/>
                <w:highlight w:val="none"/>
              </w:rPr>
            </w:pPr>
            <w:r>
              <w:rPr>
                <w:rFonts w:ascii="宋体" w:hAnsi="宋体" w:eastAsia="宋体"/>
                <w:highlight w:val="none"/>
              </w:rPr>
              <w:t>不允许。</w:t>
            </w:r>
          </w:p>
        </w:tc>
      </w:tr>
      <w:tr w14:paraId="32C71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724" w:hRule="atLeast"/>
        </w:trPr>
        <w:tc>
          <w:tcPr>
            <w:tcW w:w="794" w:type="dxa"/>
            <w:vMerge w:val="restart"/>
            <w:tcBorders>
              <w:top w:val="single" w:color="auto" w:sz="4" w:space="0"/>
              <w:bottom w:val="single" w:color="auto" w:sz="4" w:space="0"/>
              <w:right w:val="single" w:color="auto" w:sz="4" w:space="0"/>
            </w:tcBorders>
            <w:noWrap/>
            <w:vAlign w:val="center"/>
          </w:tcPr>
          <w:p w14:paraId="6D58DCB7">
            <w:pPr>
              <w:widowControl/>
              <w:ind w:firstLine="420"/>
              <w:jc w:val="left"/>
              <w:rPr>
                <w:rFonts w:ascii="宋体" w:hAnsi="宋体" w:eastAsia="宋体"/>
                <w:highlight w:val="none"/>
              </w:rPr>
            </w:pPr>
            <w:r>
              <w:rPr>
                <w:rFonts w:ascii="宋体" w:hAnsi="宋体" w:eastAsia="宋体"/>
                <w:highlight w:val="none"/>
              </w:rPr>
              <w:t>2.1.2</w:t>
            </w:r>
          </w:p>
        </w:tc>
        <w:tc>
          <w:tcPr>
            <w:tcW w:w="141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71B1471">
            <w:pPr>
              <w:widowControl/>
              <w:ind w:firstLine="420"/>
              <w:jc w:val="left"/>
              <w:rPr>
                <w:rFonts w:ascii="宋体" w:hAnsi="宋体" w:eastAsia="宋体"/>
                <w:highlight w:val="none"/>
              </w:rPr>
            </w:pPr>
            <w:r>
              <w:rPr>
                <w:rFonts w:ascii="宋体" w:hAnsi="宋体" w:eastAsia="宋体"/>
                <w:highlight w:val="none"/>
              </w:rPr>
              <w:t>资格评审标准</w:t>
            </w:r>
          </w:p>
        </w:tc>
        <w:tc>
          <w:tcPr>
            <w:tcW w:w="1568" w:type="dxa"/>
            <w:tcBorders>
              <w:top w:val="single" w:color="auto" w:sz="4" w:space="0"/>
              <w:left w:val="single" w:color="auto" w:sz="4" w:space="0"/>
              <w:bottom w:val="single" w:color="auto" w:sz="4" w:space="0"/>
              <w:right w:val="single" w:color="auto" w:sz="4" w:space="0"/>
            </w:tcBorders>
            <w:noWrap/>
            <w:vAlign w:val="center"/>
          </w:tcPr>
          <w:p w14:paraId="53D9B82D">
            <w:pPr>
              <w:widowControl/>
              <w:ind w:firstLine="420"/>
              <w:jc w:val="left"/>
              <w:rPr>
                <w:rFonts w:ascii="宋体" w:hAnsi="宋体" w:eastAsia="宋体"/>
                <w:highlight w:val="none"/>
              </w:rPr>
            </w:pPr>
            <w:r>
              <w:rPr>
                <w:rFonts w:hint="eastAsia" w:ascii="宋体" w:hAnsi="宋体" w:eastAsia="宋体"/>
                <w:highlight w:val="none"/>
              </w:rPr>
              <w:t>营业执照或事业单位法人证书</w:t>
            </w:r>
          </w:p>
        </w:tc>
        <w:tc>
          <w:tcPr>
            <w:tcW w:w="6219" w:type="dxa"/>
            <w:tcBorders>
              <w:top w:val="single" w:color="auto" w:sz="4" w:space="0"/>
              <w:left w:val="single" w:color="auto" w:sz="4" w:space="0"/>
              <w:bottom w:val="single" w:color="auto" w:sz="4" w:space="0"/>
              <w:right w:val="single" w:color="auto" w:sz="4" w:space="0"/>
            </w:tcBorders>
            <w:noWrap/>
            <w:vAlign w:val="center"/>
          </w:tcPr>
          <w:p w14:paraId="379EC8CA">
            <w:pPr>
              <w:widowControl/>
              <w:ind w:firstLine="420"/>
              <w:jc w:val="left"/>
              <w:rPr>
                <w:rFonts w:ascii="宋体" w:hAnsi="宋体" w:eastAsia="宋体"/>
                <w:highlight w:val="none"/>
              </w:rPr>
            </w:pPr>
            <w:r>
              <w:rPr>
                <w:rFonts w:ascii="宋体" w:hAnsi="宋体" w:eastAsia="宋体"/>
                <w:highlight w:val="none"/>
              </w:rPr>
              <w:t>符合第二章“投标人须知”第1.4.1项规定，具备有效的营业执照</w:t>
            </w:r>
            <w:r>
              <w:rPr>
                <w:rFonts w:hint="eastAsia" w:ascii="宋体" w:hAnsi="宋体" w:eastAsia="宋体"/>
                <w:highlight w:val="none"/>
              </w:rPr>
              <w:t>或者法人证书。</w:t>
            </w:r>
          </w:p>
        </w:tc>
      </w:tr>
      <w:tr w14:paraId="2078D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14:paraId="51BAF5A2">
            <w:pPr>
              <w:widowControl/>
              <w:ind w:firstLine="420"/>
              <w:jc w:val="left"/>
              <w:rPr>
                <w:rFonts w:ascii="宋体" w:hAnsi="宋体" w:eastAsia="宋体"/>
                <w:highlight w:val="none"/>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309B5A9">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0FD5AD91">
            <w:pPr>
              <w:widowControl/>
              <w:ind w:firstLine="420"/>
              <w:jc w:val="left"/>
              <w:rPr>
                <w:rFonts w:ascii="宋体" w:hAnsi="宋体" w:eastAsia="宋体"/>
                <w:highlight w:val="none"/>
              </w:rPr>
            </w:pPr>
            <w:r>
              <w:rPr>
                <w:rFonts w:ascii="宋体" w:hAnsi="宋体" w:eastAsia="宋体"/>
                <w:highlight w:val="none"/>
              </w:rPr>
              <w:t>资质要求</w:t>
            </w:r>
          </w:p>
        </w:tc>
        <w:tc>
          <w:tcPr>
            <w:tcW w:w="6219" w:type="dxa"/>
            <w:tcBorders>
              <w:top w:val="single" w:color="auto" w:sz="4" w:space="0"/>
              <w:left w:val="single" w:color="auto" w:sz="4" w:space="0"/>
              <w:bottom w:val="single" w:color="auto" w:sz="4" w:space="0"/>
              <w:right w:val="single" w:color="auto" w:sz="4" w:space="0"/>
            </w:tcBorders>
            <w:noWrap/>
            <w:vAlign w:val="center"/>
          </w:tcPr>
          <w:p w14:paraId="3CA0155B">
            <w:pPr>
              <w:widowControl/>
              <w:ind w:firstLine="420"/>
              <w:jc w:val="left"/>
              <w:rPr>
                <w:rFonts w:ascii="宋体" w:hAnsi="宋体" w:eastAsia="宋体"/>
                <w:highlight w:val="none"/>
              </w:rPr>
            </w:pPr>
            <w:r>
              <w:rPr>
                <w:rFonts w:ascii="宋体" w:hAnsi="宋体" w:eastAsia="宋体"/>
                <w:highlight w:val="none"/>
              </w:rPr>
              <w:t>符合第二章“投标人须知”第1.4.1项规定</w:t>
            </w:r>
            <w:r>
              <w:rPr>
                <w:rFonts w:hint="eastAsia" w:ascii="宋体" w:hAnsi="宋体" w:eastAsia="宋体"/>
                <w:highlight w:val="none"/>
              </w:rPr>
              <w:t>。</w:t>
            </w:r>
          </w:p>
        </w:tc>
      </w:tr>
      <w:tr w14:paraId="65375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25" w:hRule="atLeast"/>
        </w:trPr>
        <w:tc>
          <w:tcPr>
            <w:tcW w:w="794" w:type="dxa"/>
            <w:vMerge w:val="continue"/>
            <w:tcBorders>
              <w:top w:val="single" w:color="auto" w:sz="4" w:space="0"/>
              <w:bottom w:val="single" w:color="auto" w:sz="4" w:space="0"/>
              <w:right w:val="single" w:color="auto" w:sz="4" w:space="0"/>
            </w:tcBorders>
            <w:noWrap/>
            <w:vAlign w:val="center"/>
          </w:tcPr>
          <w:p w14:paraId="0084F21F">
            <w:pPr>
              <w:widowControl/>
              <w:ind w:firstLine="420"/>
              <w:jc w:val="left"/>
              <w:rPr>
                <w:rFonts w:ascii="宋体" w:hAnsi="宋体" w:eastAsia="宋体"/>
                <w:highlight w:val="none"/>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0E3509A">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68CC1FE4">
            <w:pPr>
              <w:widowControl/>
              <w:ind w:firstLine="420"/>
              <w:jc w:val="left"/>
              <w:rPr>
                <w:rFonts w:ascii="宋体" w:hAnsi="宋体" w:eastAsia="宋体"/>
                <w:highlight w:val="none"/>
              </w:rPr>
            </w:pPr>
            <w:r>
              <w:rPr>
                <w:rFonts w:hint="eastAsia" w:ascii="宋体" w:hAnsi="宋体" w:eastAsia="宋体"/>
                <w:highlight w:val="none"/>
              </w:rPr>
              <w:t>项目负责人</w:t>
            </w:r>
          </w:p>
        </w:tc>
        <w:tc>
          <w:tcPr>
            <w:tcW w:w="6219" w:type="dxa"/>
            <w:tcBorders>
              <w:top w:val="single" w:color="auto" w:sz="4" w:space="0"/>
              <w:left w:val="single" w:color="auto" w:sz="4" w:space="0"/>
              <w:bottom w:val="single" w:color="auto" w:sz="4" w:space="0"/>
              <w:right w:val="single" w:color="auto" w:sz="4" w:space="0"/>
            </w:tcBorders>
            <w:noWrap/>
            <w:vAlign w:val="center"/>
          </w:tcPr>
          <w:p w14:paraId="77EC64F0">
            <w:pPr>
              <w:widowControl/>
              <w:ind w:firstLine="420"/>
              <w:jc w:val="left"/>
              <w:rPr>
                <w:rFonts w:ascii="宋体" w:hAnsi="宋体" w:eastAsia="宋体"/>
                <w:highlight w:val="none"/>
              </w:rPr>
            </w:pPr>
            <w:r>
              <w:rPr>
                <w:rFonts w:ascii="宋体" w:hAnsi="宋体" w:eastAsia="宋体"/>
                <w:highlight w:val="none"/>
              </w:rPr>
              <w:t>符合第二章“投标人须知”第1.4.1项规定</w:t>
            </w:r>
            <w:r>
              <w:rPr>
                <w:rFonts w:hint="eastAsia" w:ascii="宋体" w:hAnsi="宋体" w:eastAsia="宋体"/>
                <w:highlight w:val="none"/>
              </w:rPr>
              <w:t>。</w:t>
            </w:r>
          </w:p>
        </w:tc>
      </w:tr>
      <w:tr w14:paraId="69498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14:paraId="5D877E31">
            <w:pPr>
              <w:widowControl/>
              <w:ind w:firstLine="420"/>
              <w:jc w:val="left"/>
              <w:rPr>
                <w:rFonts w:ascii="宋体" w:hAnsi="宋体" w:eastAsia="宋体"/>
                <w:highlight w:val="none"/>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49265F0">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2DB088CB">
            <w:pPr>
              <w:widowControl/>
              <w:ind w:firstLine="420"/>
              <w:jc w:val="left"/>
              <w:rPr>
                <w:rFonts w:ascii="宋体" w:hAnsi="宋体" w:eastAsia="宋体"/>
                <w:highlight w:val="none"/>
              </w:rPr>
            </w:pPr>
            <w:r>
              <w:rPr>
                <w:rFonts w:ascii="宋体" w:hAnsi="宋体" w:eastAsia="宋体"/>
                <w:highlight w:val="none"/>
              </w:rPr>
              <w:t>其他要求</w:t>
            </w:r>
          </w:p>
        </w:tc>
        <w:tc>
          <w:tcPr>
            <w:tcW w:w="6219" w:type="dxa"/>
            <w:tcBorders>
              <w:top w:val="single" w:color="auto" w:sz="4" w:space="0"/>
              <w:left w:val="single" w:color="auto" w:sz="4" w:space="0"/>
              <w:bottom w:val="single" w:color="auto" w:sz="4" w:space="0"/>
              <w:right w:val="single" w:color="auto" w:sz="4" w:space="0"/>
            </w:tcBorders>
            <w:noWrap/>
            <w:vAlign w:val="center"/>
          </w:tcPr>
          <w:p w14:paraId="62697A9D">
            <w:pPr>
              <w:widowControl/>
              <w:ind w:firstLine="420"/>
              <w:jc w:val="left"/>
              <w:rPr>
                <w:rFonts w:ascii="宋体" w:hAnsi="宋体" w:eastAsia="宋体"/>
                <w:highlight w:val="none"/>
              </w:rPr>
            </w:pPr>
            <w:r>
              <w:rPr>
                <w:rFonts w:ascii="宋体" w:hAnsi="宋体" w:eastAsia="宋体"/>
                <w:highlight w:val="none"/>
              </w:rPr>
              <w:t>符合第二章“投标人须知”第1.4.1项规定</w:t>
            </w:r>
            <w:r>
              <w:rPr>
                <w:rFonts w:hint="eastAsia" w:ascii="宋体" w:hAnsi="宋体" w:eastAsia="宋体"/>
                <w:highlight w:val="none"/>
              </w:rPr>
              <w:t>。</w:t>
            </w:r>
          </w:p>
        </w:tc>
      </w:tr>
      <w:tr w14:paraId="4287E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14:paraId="4C7B37FB">
            <w:pPr>
              <w:widowControl/>
              <w:ind w:firstLine="420"/>
              <w:jc w:val="left"/>
              <w:rPr>
                <w:rFonts w:ascii="宋体" w:hAnsi="宋体" w:eastAsia="宋体"/>
                <w:highlight w:val="none"/>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2AD9056">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636D43ED">
            <w:pPr>
              <w:widowControl/>
              <w:ind w:firstLine="420"/>
              <w:jc w:val="left"/>
              <w:rPr>
                <w:rFonts w:ascii="宋体" w:hAnsi="宋体" w:eastAsia="宋体"/>
                <w:highlight w:val="none"/>
              </w:rPr>
            </w:pPr>
            <w:r>
              <w:rPr>
                <w:rFonts w:hint="eastAsia" w:ascii="宋体" w:hAnsi="宋体" w:eastAsia="宋体"/>
                <w:highlight w:val="none"/>
              </w:rPr>
              <w:t>关于联合体</w:t>
            </w:r>
          </w:p>
          <w:p w14:paraId="0AE1722E">
            <w:pPr>
              <w:widowControl/>
              <w:ind w:firstLine="420"/>
              <w:jc w:val="left"/>
              <w:rPr>
                <w:rFonts w:ascii="宋体" w:hAnsi="宋体" w:eastAsia="宋体"/>
                <w:highlight w:val="none"/>
              </w:rPr>
            </w:pPr>
            <w:r>
              <w:rPr>
                <w:rFonts w:hint="eastAsia" w:ascii="宋体" w:hAnsi="宋体" w:eastAsia="宋体"/>
                <w:highlight w:val="none"/>
              </w:rPr>
              <w:t>投标</w:t>
            </w:r>
          </w:p>
        </w:tc>
        <w:tc>
          <w:tcPr>
            <w:tcW w:w="6219" w:type="dxa"/>
            <w:tcBorders>
              <w:top w:val="single" w:color="auto" w:sz="4" w:space="0"/>
              <w:left w:val="single" w:color="auto" w:sz="4" w:space="0"/>
              <w:bottom w:val="single" w:color="auto" w:sz="4" w:space="0"/>
              <w:right w:val="single" w:color="auto" w:sz="4" w:space="0"/>
            </w:tcBorders>
            <w:noWrap/>
            <w:vAlign w:val="center"/>
          </w:tcPr>
          <w:p w14:paraId="27C449DB">
            <w:pPr>
              <w:widowControl/>
              <w:ind w:firstLine="420"/>
              <w:jc w:val="left"/>
              <w:rPr>
                <w:rFonts w:ascii="宋体" w:hAnsi="宋体" w:eastAsia="宋体"/>
                <w:highlight w:val="none"/>
              </w:rPr>
            </w:pPr>
            <w:r>
              <w:rPr>
                <w:rFonts w:hint="eastAsia" w:ascii="宋体" w:hAnsi="宋体" w:eastAsia="宋体"/>
                <w:highlight w:val="none"/>
              </w:rPr>
              <w:t>本项目不接受联合体投标。</w:t>
            </w:r>
          </w:p>
        </w:tc>
      </w:tr>
      <w:tr w14:paraId="2C83A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14:paraId="6C9D5801">
            <w:pPr>
              <w:widowControl/>
              <w:ind w:firstLine="420"/>
              <w:jc w:val="left"/>
              <w:rPr>
                <w:rFonts w:ascii="宋体" w:hAnsi="宋体" w:eastAsia="宋体"/>
                <w:highlight w:val="none"/>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1E752C0">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5B947E72">
            <w:pPr>
              <w:widowControl/>
              <w:ind w:firstLine="420"/>
              <w:jc w:val="left"/>
              <w:rPr>
                <w:rFonts w:ascii="宋体" w:hAnsi="宋体" w:eastAsia="宋体"/>
                <w:highlight w:val="none"/>
              </w:rPr>
            </w:pPr>
            <w:r>
              <w:rPr>
                <w:rFonts w:ascii="宋体" w:hAnsi="宋体" w:eastAsia="宋体"/>
                <w:highlight w:val="none"/>
              </w:rPr>
              <w:t>不存在禁止投标的情形</w:t>
            </w:r>
          </w:p>
        </w:tc>
        <w:tc>
          <w:tcPr>
            <w:tcW w:w="6219" w:type="dxa"/>
            <w:tcBorders>
              <w:top w:val="single" w:color="auto" w:sz="4" w:space="0"/>
              <w:left w:val="single" w:color="auto" w:sz="4" w:space="0"/>
              <w:bottom w:val="single" w:color="auto" w:sz="4" w:space="0"/>
              <w:right w:val="single" w:color="auto" w:sz="4" w:space="0"/>
            </w:tcBorders>
            <w:noWrap/>
            <w:vAlign w:val="center"/>
          </w:tcPr>
          <w:p w14:paraId="14E386D5">
            <w:pPr>
              <w:widowControl/>
              <w:ind w:firstLine="420"/>
              <w:jc w:val="left"/>
              <w:rPr>
                <w:rFonts w:ascii="宋体" w:hAnsi="宋体" w:eastAsia="宋体"/>
                <w:highlight w:val="none"/>
              </w:rPr>
            </w:pPr>
            <w:r>
              <w:rPr>
                <w:rFonts w:ascii="宋体" w:hAnsi="宋体" w:eastAsia="宋体"/>
                <w:highlight w:val="none"/>
              </w:rPr>
              <w:t>不存在第二章“投标人须知”第1.4.3项规定的任何一种情形</w:t>
            </w:r>
            <w:r>
              <w:rPr>
                <w:rFonts w:hint="eastAsia" w:ascii="宋体" w:hAnsi="宋体" w:eastAsia="宋体"/>
                <w:highlight w:val="none"/>
              </w:rPr>
              <w:t>。</w:t>
            </w:r>
          </w:p>
        </w:tc>
      </w:tr>
      <w:tr w14:paraId="3229B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11" w:hRule="atLeast"/>
        </w:trPr>
        <w:tc>
          <w:tcPr>
            <w:tcW w:w="794" w:type="dxa"/>
            <w:vMerge w:val="restart"/>
            <w:tcBorders>
              <w:top w:val="single" w:color="auto" w:sz="4" w:space="0"/>
              <w:right w:val="single" w:color="auto" w:sz="4" w:space="0"/>
            </w:tcBorders>
            <w:noWrap/>
            <w:vAlign w:val="center"/>
          </w:tcPr>
          <w:p w14:paraId="1E868CBF">
            <w:pPr>
              <w:widowControl/>
              <w:ind w:firstLine="420"/>
              <w:jc w:val="left"/>
              <w:rPr>
                <w:rFonts w:ascii="宋体" w:hAnsi="宋体" w:eastAsia="宋体"/>
                <w:highlight w:val="none"/>
              </w:rPr>
            </w:pPr>
            <w:r>
              <w:rPr>
                <w:rFonts w:ascii="宋体" w:hAnsi="宋体" w:eastAsia="宋体"/>
                <w:highlight w:val="none"/>
              </w:rPr>
              <w:t>2.1.3</w:t>
            </w:r>
          </w:p>
        </w:tc>
        <w:tc>
          <w:tcPr>
            <w:tcW w:w="1417" w:type="dxa"/>
            <w:gridSpan w:val="2"/>
            <w:vMerge w:val="restart"/>
            <w:tcBorders>
              <w:top w:val="single" w:color="auto" w:sz="4" w:space="0"/>
              <w:left w:val="single" w:color="auto" w:sz="4" w:space="0"/>
              <w:right w:val="single" w:color="auto" w:sz="4" w:space="0"/>
            </w:tcBorders>
            <w:noWrap/>
            <w:vAlign w:val="center"/>
          </w:tcPr>
          <w:p w14:paraId="5AAF4009">
            <w:pPr>
              <w:widowControl/>
              <w:ind w:firstLine="420"/>
              <w:jc w:val="left"/>
              <w:rPr>
                <w:rFonts w:ascii="宋体" w:hAnsi="宋体" w:eastAsia="宋体"/>
                <w:highlight w:val="none"/>
              </w:rPr>
            </w:pPr>
            <w:r>
              <w:rPr>
                <w:rFonts w:ascii="宋体" w:hAnsi="宋体" w:eastAsia="宋体"/>
                <w:highlight w:val="none"/>
              </w:rPr>
              <w:t>响应性评审标准</w:t>
            </w:r>
          </w:p>
        </w:tc>
        <w:tc>
          <w:tcPr>
            <w:tcW w:w="1568" w:type="dxa"/>
            <w:tcBorders>
              <w:top w:val="single" w:color="auto" w:sz="4" w:space="0"/>
              <w:left w:val="single" w:color="auto" w:sz="4" w:space="0"/>
              <w:right w:val="single" w:color="auto" w:sz="4" w:space="0"/>
            </w:tcBorders>
            <w:noWrap/>
            <w:vAlign w:val="center"/>
          </w:tcPr>
          <w:p w14:paraId="5DFF607F">
            <w:pPr>
              <w:widowControl/>
              <w:ind w:firstLine="420"/>
              <w:jc w:val="left"/>
              <w:rPr>
                <w:rFonts w:ascii="宋体" w:hAnsi="宋体" w:eastAsia="宋体"/>
                <w:highlight w:val="none"/>
              </w:rPr>
            </w:pPr>
            <w:r>
              <w:rPr>
                <w:rFonts w:ascii="宋体" w:hAnsi="宋体" w:eastAsia="宋体"/>
                <w:highlight w:val="none"/>
              </w:rPr>
              <w:t>投标报价</w:t>
            </w:r>
          </w:p>
        </w:tc>
        <w:tc>
          <w:tcPr>
            <w:tcW w:w="6219" w:type="dxa"/>
            <w:tcBorders>
              <w:top w:val="single" w:color="auto" w:sz="4" w:space="0"/>
              <w:left w:val="single" w:color="auto" w:sz="4" w:space="0"/>
            </w:tcBorders>
            <w:noWrap/>
            <w:vAlign w:val="center"/>
          </w:tcPr>
          <w:p w14:paraId="608FA499">
            <w:pPr>
              <w:widowControl/>
              <w:ind w:firstLine="420"/>
              <w:jc w:val="left"/>
              <w:rPr>
                <w:rFonts w:ascii="宋体" w:hAnsi="宋体" w:eastAsia="宋体"/>
                <w:highlight w:val="none"/>
              </w:rPr>
            </w:pPr>
            <w:r>
              <w:rPr>
                <w:rFonts w:ascii="宋体" w:hAnsi="宋体" w:eastAsia="宋体"/>
                <w:highlight w:val="none"/>
              </w:rPr>
              <w:t>符合第二章“投标人须知”第3.2款规定</w:t>
            </w:r>
            <w:r>
              <w:rPr>
                <w:rFonts w:hint="eastAsia" w:ascii="宋体" w:hAnsi="宋体" w:eastAsia="宋体"/>
                <w:highlight w:val="none"/>
              </w:rPr>
              <w:t>进行投标报价的。</w:t>
            </w:r>
          </w:p>
        </w:tc>
      </w:tr>
      <w:tr w14:paraId="16627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14:paraId="7CC433CC">
            <w:pPr>
              <w:widowControl/>
              <w:ind w:firstLine="420"/>
              <w:jc w:val="left"/>
              <w:rPr>
                <w:rFonts w:ascii="宋体" w:hAnsi="宋体" w:eastAsia="宋体"/>
                <w:highlight w:val="none"/>
              </w:rPr>
            </w:pPr>
          </w:p>
        </w:tc>
        <w:tc>
          <w:tcPr>
            <w:tcW w:w="1417" w:type="dxa"/>
            <w:gridSpan w:val="2"/>
            <w:vMerge w:val="continue"/>
            <w:tcBorders>
              <w:left w:val="single" w:color="auto" w:sz="4" w:space="0"/>
              <w:right w:val="single" w:color="auto" w:sz="4" w:space="0"/>
            </w:tcBorders>
            <w:noWrap/>
            <w:vAlign w:val="center"/>
          </w:tcPr>
          <w:p w14:paraId="510ED153">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3C7A9434">
            <w:pPr>
              <w:widowControl/>
              <w:ind w:firstLine="420"/>
              <w:jc w:val="left"/>
              <w:rPr>
                <w:rFonts w:ascii="宋体" w:hAnsi="宋体" w:eastAsia="宋体"/>
                <w:highlight w:val="none"/>
              </w:rPr>
            </w:pPr>
            <w:r>
              <w:rPr>
                <w:rFonts w:ascii="宋体" w:hAnsi="宋体" w:eastAsia="宋体"/>
                <w:highlight w:val="none"/>
              </w:rPr>
              <w:t>投标内容</w:t>
            </w:r>
          </w:p>
        </w:tc>
        <w:tc>
          <w:tcPr>
            <w:tcW w:w="6219" w:type="dxa"/>
            <w:tcBorders>
              <w:top w:val="single" w:color="auto" w:sz="4" w:space="0"/>
              <w:left w:val="single" w:color="auto" w:sz="4" w:space="0"/>
              <w:bottom w:val="single" w:color="auto" w:sz="4" w:space="0"/>
            </w:tcBorders>
            <w:noWrap/>
            <w:vAlign w:val="center"/>
          </w:tcPr>
          <w:p w14:paraId="36947853">
            <w:pPr>
              <w:widowControl/>
              <w:ind w:firstLine="420"/>
              <w:jc w:val="left"/>
              <w:rPr>
                <w:rFonts w:ascii="宋体" w:hAnsi="宋体" w:eastAsia="宋体"/>
                <w:highlight w:val="none"/>
              </w:rPr>
            </w:pPr>
            <w:r>
              <w:rPr>
                <w:rFonts w:hint="eastAsia" w:ascii="宋体" w:hAnsi="宋体" w:eastAsia="宋体"/>
                <w:highlight w:val="none"/>
              </w:rPr>
              <w:t>符合第二章“投标人须知”第</w:t>
            </w:r>
            <w:r>
              <w:rPr>
                <w:rFonts w:ascii="宋体" w:hAnsi="宋体" w:eastAsia="宋体"/>
                <w:highlight w:val="none"/>
              </w:rPr>
              <w:t>1.3.1项规定。</w:t>
            </w:r>
          </w:p>
        </w:tc>
      </w:tr>
      <w:tr w14:paraId="552E0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40" w:hRule="atLeast"/>
        </w:trPr>
        <w:tc>
          <w:tcPr>
            <w:tcW w:w="794" w:type="dxa"/>
            <w:vMerge w:val="continue"/>
            <w:tcBorders>
              <w:right w:val="single" w:color="auto" w:sz="4" w:space="0"/>
            </w:tcBorders>
            <w:noWrap/>
            <w:vAlign w:val="center"/>
          </w:tcPr>
          <w:p w14:paraId="3D33350C">
            <w:pPr>
              <w:widowControl/>
              <w:ind w:firstLine="420"/>
              <w:jc w:val="left"/>
              <w:rPr>
                <w:rFonts w:ascii="宋体" w:hAnsi="宋体" w:eastAsia="宋体"/>
                <w:highlight w:val="none"/>
              </w:rPr>
            </w:pPr>
          </w:p>
        </w:tc>
        <w:tc>
          <w:tcPr>
            <w:tcW w:w="1417" w:type="dxa"/>
            <w:gridSpan w:val="2"/>
            <w:vMerge w:val="continue"/>
            <w:tcBorders>
              <w:left w:val="single" w:color="auto" w:sz="4" w:space="0"/>
              <w:right w:val="single" w:color="auto" w:sz="4" w:space="0"/>
            </w:tcBorders>
            <w:noWrap/>
            <w:vAlign w:val="center"/>
          </w:tcPr>
          <w:p w14:paraId="76818626">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2C42E1D4">
            <w:pPr>
              <w:widowControl/>
              <w:ind w:firstLine="420"/>
              <w:jc w:val="left"/>
              <w:rPr>
                <w:rFonts w:ascii="宋体" w:hAnsi="宋体" w:eastAsia="宋体"/>
                <w:highlight w:val="none"/>
              </w:rPr>
            </w:pPr>
            <w:r>
              <w:rPr>
                <w:rFonts w:ascii="宋体" w:hAnsi="宋体" w:eastAsia="宋体"/>
                <w:highlight w:val="none"/>
              </w:rPr>
              <w:t>服务期限</w:t>
            </w:r>
          </w:p>
        </w:tc>
        <w:tc>
          <w:tcPr>
            <w:tcW w:w="6219" w:type="dxa"/>
            <w:tcBorders>
              <w:top w:val="single" w:color="auto" w:sz="4" w:space="0"/>
              <w:left w:val="single" w:color="auto" w:sz="4" w:space="0"/>
              <w:bottom w:val="single" w:color="auto" w:sz="4" w:space="0"/>
            </w:tcBorders>
            <w:noWrap/>
            <w:vAlign w:val="center"/>
          </w:tcPr>
          <w:p w14:paraId="62B519EF">
            <w:pPr>
              <w:widowControl/>
              <w:ind w:firstLine="420"/>
              <w:jc w:val="left"/>
              <w:rPr>
                <w:rFonts w:ascii="宋体" w:hAnsi="宋体" w:eastAsia="宋体"/>
                <w:highlight w:val="none"/>
              </w:rPr>
            </w:pPr>
            <w:r>
              <w:rPr>
                <w:rFonts w:ascii="宋体" w:hAnsi="宋体" w:eastAsia="宋体"/>
                <w:highlight w:val="none"/>
              </w:rPr>
              <w:t>符合第二章“投标人须知”第1.3.2项规定</w:t>
            </w:r>
            <w:r>
              <w:rPr>
                <w:rFonts w:hint="eastAsia" w:ascii="宋体" w:hAnsi="宋体" w:eastAsia="宋体"/>
                <w:highlight w:val="none"/>
              </w:rPr>
              <w:t>。</w:t>
            </w:r>
          </w:p>
        </w:tc>
      </w:tr>
      <w:tr w14:paraId="1B321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40" w:hRule="atLeast"/>
        </w:trPr>
        <w:tc>
          <w:tcPr>
            <w:tcW w:w="794" w:type="dxa"/>
            <w:vMerge w:val="continue"/>
            <w:tcBorders>
              <w:right w:val="single" w:color="auto" w:sz="4" w:space="0"/>
            </w:tcBorders>
            <w:noWrap/>
            <w:vAlign w:val="center"/>
          </w:tcPr>
          <w:p w14:paraId="22A8DCB9">
            <w:pPr>
              <w:widowControl/>
              <w:ind w:firstLine="420"/>
              <w:jc w:val="left"/>
              <w:rPr>
                <w:rFonts w:ascii="宋体" w:hAnsi="宋体" w:eastAsia="宋体"/>
                <w:highlight w:val="none"/>
              </w:rPr>
            </w:pPr>
          </w:p>
        </w:tc>
        <w:tc>
          <w:tcPr>
            <w:tcW w:w="1417" w:type="dxa"/>
            <w:gridSpan w:val="2"/>
            <w:vMerge w:val="continue"/>
            <w:tcBorders>
              <w:left w:val="single" w:color="auto" w:sz="4" w:space="0"/>
              <w:right w:val="single" w:color="auto" w:sz="4" w:space="0"/>
            </w:tcBorders>
            <w:noWrap/>
            <w:vAlign w:val="center"/>
          </w:tcPr>
          <w:p w14:paraId="615FBDA4">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42615D0B">
            <w:pPr>
              <w:widowControl/>
              <w:spacing w:line="360" w:lineRule="exact"/>
              <w:ind w:firstLine="420"/>
              <w:jc w:val="left"/>
              <w:rPr>
                <w:rFonts w:ascii="宋体" w:hAnsi="宋体" w:eastAsia="宋体"/>
                <w:highlight w:val="none"/>
              </w:rPr>
            </w:pPr>
            <w:r>
              <w:rPr>
                <w:rFonts w:hint="eastAsia" w:ascii="宋体" w:hAnsi="宋体" w:eastAsia="宋体"/>
                <w:highlight w:val="none"/>
              </w:rPr>
              <w:t>质量标准</w:t>
            </w:r>
          </w:p>
        </w:tc>
        <w:tc>
          <w:tcPr>
            <w:tcW w:w="6219" w:type="dxa"/>
            <w:tcBorders>
              <w:top w:val="single" w:color="auto" w:sz="4" w:space="0"/>
              <w:left w:val="single" w:color="auto" w:sz="4" w:space="0"/>
              <w:bottom w:val="single" w:color="auto" w:sz="4" w:space="0"/>
            </w:tcBorders>
            <w:noWrap/>
            <w:vAlign w:val="center"/>
          </w:tcPr>
          <w:p w14:paraId="14C582DF">
            <w:pPr>
              <w:widowControl/>
              <w:spacing w:line="360" w:lineRule="exact"/>
              <w:ind w:firstLine="420"/>
              <w:jc w:val="left"/>
              <w:rPr>
                <w:rFonts w:ascii="宋体" w:hAnsi="宋体" w:eastAsia="宋体"/>
                <w:highlight w:val="none"/>
              </w:rPr>
            </w:pPr>
            <w:r>
              <w:rPr>
                <w:rFonts w:hint="eastAsia" w:ascii="宋体" w:hAnsi="宋体" w:eastAsia="宋体"/>
                <w:highlight w:val="none"/>
              </w:rPr>
              <w:t>符合第二章“投标人须知”第</w:t>
            </w:r>
            <w:r>
              <w:rPr>
                <w:rFonts w:ascii="宋体" w:hAnsi="宋体" w:eastAsia="宋体"/>
                <w:highlight w:val="none"/>
              </w:rPr>
              <w:t>1.3.3项规定。</w:t>
            </w:r>
          </w:p>
        </w:tc>
      </w:tr>
      <w:tr w14:paraId="54AF0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40" w:hRule="atLeast"/>
        </w:trPr>
        <w:tc>
          <w:tcPr>
            <w:tcW w:w="794" w:type="dxa"/>
            <w:vMerge w:val="continue"/>
            <w:tcBorders>
              <w:right w:val="single" w:color="auto" w:sz="4" w:space="0"/>
            </w:tcBorders>
            <w:noWrap/>
            <w:vAlign w:val="center"/>
          </w:tcPr>
          <w:p w14:paraId="02205BFE">
            <w:pPr>
              <w:widowControl/>
              <w:ind w:firstLine="420"/>
              <w:jc w:val="left"/>
              <w:rPr>
                <w:rFonts w:ascii="宋体" w:hAnsi="宋体" w:eastAsia="宋体"/>
                <w:highlight w:val="none"/>
              </w:rPr>
            </w:pPr>
          </w:p>
        </w:tc>
        <w:tc>
          <w:tcPr>
            <w:tcW w:w="1417" w:type="dxa"/>
            <w:gridSpan w:val="2"/>
            <w:vMerge w:val="continue"/>
            <w:tcBorders>
              <w:left w:val="single" w:color="auto" w:sz="4" w:space="0"/>
              <w:right w:val="single" w:color="auto" w:sz="4" w:space="0"/>
            </w:tcBorders>
            <w:noWrap/>
            <w:vAlign w:val="center"/>
          </w:tcPr>
          <w:p w14:paraId="5782D3D0">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349AF773">
            <w:pPr>
              <w:widowControl/>
              <w:spacing w:line="360" w:lineRule="exact"/>
              <w:ind w:firstLine="420"/>
              <w:jc w:val="left"/>
              <w:rPr>
                <w:rFonts w:ascii="宋体" w:hAnsi="宋体" w:eastAsia="宋体"/>
                <w:highlight w:val="none"/>
              </w:rPr>
            </w:pPr>
            <w:r>
              <w:rPr>
                <w:rFonts w:ascii="宋体" w:hAnsi="宋体" w:eastAsia="宋体"/>
                <w:highlight w:val="none"/>
              </w:rPr>
              <w:t>投标有效期</w:t>
            </w:r>
          </w:p>
        </w:tc>
        <w:tc>
          <w:tcPr>
            <w:tcW w:w="6219" w:type="dxa"/>
            <w:tcBorders>
              <w:top w:val="single" w:color="auto" w:sz="4" w:space="0"/>
              <w:left w:val="single" w:color="auto" w:sz="4" w:space="0"/>
              <w:bottom w:val="single" w:color="auto" w:sz="4" w:space="0"/>
            </w:tcBorders>
            <w:noWrap/>
            <w:vAlign w:val="center"/>
          </w:tcPr>
          <w:p w14:paraId="360A5844">
            <w:pPr>
              <w:widowControl/>
              <w:spacing w:line="360" w:lineRule="exact"/>
              <w:ind w:firstLine="420"/>
              <w:jc w:val="left"/>
              <w:rPr>
                <w:rFonts w:ascii="宋体" w:hAnsi="宋体" w:eastAsia="宋体"/>
                <w:highlight w:val="none"/>
              </w:rPr>
            </w:pPr>
            <w:r>
              <w:rPr>
                <w:rFonts w:hint="eastAsia" w:ascii="宋体" w:hAnsi="宋体" w:eastAsia="宋体"/>
                <w:highlight w:val="none"/>
              </w:rPr>
              <w:t>符合第二章“投标人须知”第</w:t>
            </w:r>
            <w:r>
              <w:rPr>
                <w:rFonts w:ascii="宋体" w:hAnsi="宋体" w:eastAsia="宋体"/>
                <w:highlight w:val="none"/>
              </w:rPr>
              <w:t>3.3.1项规定。</w:t>
            </w:r>
          </w:p>
        </w:tc>
      </w:tr>
      <w:tr w14:paraId="2BEFF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54" w:hRule="atLeast"/>
        </w:trPr>
        <w:tc>
          <w:tcPr>
            <w:tcW w:w="794" w:type="dxa"/>
            <w:vMerge w:val="continue"/>
            <w:tcBorders>
              <w:right w:val="single" w:color="auto" w:sz="4" w:space="0"/>
            </w:tcBorders>
            <w:noWrap/>
            <w:vAlign w:val="center"/>
          </w:tcPr>
          <w:p w14:paraId="6867A8F2">
            <w:pPr>
              <w:widowControl/>
              <w:ind w:firstLine="420"/>
              <w:jc w:val="left"/>
              <w:rPr>
                <w:rFonts w:ascii="宋体" w:hAnsi="宋体" w:eastAsia="宋体"/>
                <w:highlight w:val="none"/>
              </w:rPr>
            </w:pPr>
          </w:p>
        </w:tc>
        <w:tc>
          <w:tcPr>
            <w:tcW w:w="1417" w:type="dxa"/>
            <w:gridSpan w:val="2"/>
            <w:vMerge w:val="continue"/>
            <w:tcBorders>
              <w:left w:val="single" w:color="auto" w:sz="4" w:space="0"/>
              <w:right w:val="single" w:color="auto" w:sz="4" w:space="0"/>
            </w:tcBorders>
            <w:noWrap/>
            <w:vAlign w:val="center"/>
          </w:tcPr>
          <w:p w14:paraId="02D6B034">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019C69CE">
            <w:pPr>
              <w:widowControl/>
              <w:spacing w:line="360" w:lineRule="exact"/>
              <w:ind w:firstLine="420"/>
              <w:jc w:val="left"/>
              <w:rPr>
                <w:rFonts w:ascii="宋体" w:hAnsi="宋体" w:eastAsia="宋体"/>
                <w:highlight w:val="none"/>
              </w:rPr>
            </w:pPr>
            <w:r>
              <w:rPr>
                <w:rFonts w:hint="eastAsia" w:ascii="宋体" w:hAnsi="宋体" w:eastAsia="宋体"/>
                <w:highlight w:val="none"/>
              </w:rPr>
              <w:t>串通投标情形</w:t>
            </w:r>
          </w:p>
        </w:tc>
        <w:tc>
          <w:tcPr>
            <w:tcW w:w="6219" w:type="dxa"/>
            <w:tcBorders>
              <w:top w:val="single" w:color="auto" w:sz="4" w:space="0"/>
              <w:left w:val="single" w:color="auto" w:sz="4" w:space="0"/>
              <w:bottom w:val="single" w:color="auto" w:sz="4" w:space="0"/>
            </w:tcBorders>
            <w:noWrap/>
          </w:tcPr>
          <w:p w14:paraId="4260CC35">
            <w:pPr>
              <w:widowControl/>
              <w:spacing w:line="360" w:lineRule="exact"/>
              <w:ind w:firstLine="420"/>
              <w:jc w:val="left"/>
              <w:rPr>
                <w:rFonts w:ascii="宋体" w:hAnsi="宋体" w:eastAsia="宋体"/>
                <w:highlight w:val="none"/>
              </w:rPr>
            </w:pPr>
            <w:r>
              <w:rPr>
                <w:rFonts w:hint="eastAsia" w:ascii="宋体" w:hAnsi="宋体" w:eastAsia="宋体"/>
                <w:highlight w:val="none"/>
              </w:rPr>
              <w:t>不存在串通投标情形（串通投标情形以《中华人民共和国招标投标法实施条例》和《广东省实施</w:t>
            </w:r>
            <w:r>
              <w:rPr>
                <w:rFonts w:ascii="宋体" w:hAnsi="宋体" w:eastAsia="宋体"/>
                <w:highlight w:val="none"/>
              </w:rPr>
              <w:t>&lt;中华人民共和国招标投标法&gt;办法》的规定为准）。</w:t>
            </w:r>
          </w:p>
        </w:tc>
      </w:tr>
      <w:tr w14:paraId="7966F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26" w:hRule="atLeast"/>
        </w:trPr>
        <w:tc>
          <w:tcPr>
            <w:tcW w:w="2211" w:type="dxa"/>
            <w:gridSpan w:val="3"/>
            <w:tcBorders>
              <w:top w:val="single" w:color="auto" w:sz="4" w:space="0"/>
              <w:bottom w:val="single" w:color="auto" w:sz="4" w:space="0"/>
              <w:right w:val="single" w:color="auto" w:sz="4" w:space="0"/>
            </w:tcBorders>
            <w:noWrap/>
            <w:vAlign w:val="center"/>
          </w:tcPr>
          <w:p w14:paraId="48A3F7D1">
            <w:pPr>
              <w:widowControl/>
              <w:ind w:firstLine="420"/>
              <w:jc w:val="left"/>
              <w:rPr>
                <w:rFonts w:ascii="宋体" w:hAnsi="宋体" w:eastAsia="宋体"/>
                <w:highlight w:val="none"/>
              </w:rPr>
            </w:pPr>
            <w:r>
              <w:rPr>
                <w:rFonts w:ascii="宋体" w:hAnsi="宋体" w:eastAsia="宋体"/>
                <w:highlight w:val="none"/>
              </w:rPr>
              <w:t>条款号</w:t>
            </w:r>
          </w:p>
        </w:tc>
        <w:tc>
          <w:tcPr>
            <w:tcW w:w="1568" w:type="dxa"/>
            <w:tcBorders>
              <w:top w:val="single" w:color="auto" w:sz="4" w:space="0"/>
              <w:left w:val="single" w:color="auto" w:sz="4" w:space="0"/>
              <w:bottom w:val="single" w:color="auto" w:sz="4" w:space="0"/>
              <w:right w:val="single" w:color="auto" w:sz="4" w:space="0"/>
            </w:tcBorders>
            <w:noWrap/>
            <w:vAlign w:val="center"/>
          </w:tcPr>
          <w:p w14:paraId="20DA0908">
            <w:pPr>
              <w:widowControl/>
              <w:spacing w:line="360" w:lineRule="exact"/>
              <w:ind w:firstLine="420"/>
              <w:jc w:val="left"/>
              <w:rPr>
                <w:rFonts w:ascii="宋体" w:hAnsi="宋体" w:eastAsia="宋体"/>
                <w:highlight w:val="none"/>
              </w:rPr>
            </w:pPr>
            <w:r>
              <w:rPr>
                <w:rFonts w:ascii="宋体" w:hAnsi="宋体" w:eastAsia="宋体"/>
                <w:highlight w:val="none"/>
              </w:rPr>
              <w:t>条款内容</w:t>
            </w:r>
          </w:p>
        </w:tc>
        <w:tc>
          <w:tcPr>
            <w:tcW w:w="6219" w:type="dxa"/>
            <w:tcBorders>
              <w:top w:val="single" w:color="auto" w:sz="4" w:space="0"/>
              <w:left w:val="single" w:color="auto" w:sz="4" w:space="0"/>
              <w:bottom w:val="single" w:color="auto" w:sz="4" w:space="0"/>
              <w:right w:val="single" w:color="auto" w:sz="4" w:space="0"/>
            </w:tcBorders>
            <w:noWrap/>
            <w:vAlign w:val="center"/>
          </w:tcPr>
          <w:p w14:paraId="4BB17088">
            <w:pPr>
              <w:widowControl/>
              <w:spacing w:line="360" w:lineRule="exact"/>
              <w:ind w:firstLine="420"/>
              <w:jc w:val="left"/>
              <w:rPr>
                <w:rFonts w:ascii="宋体" w:hAnsi="宋体" w:eastAsia="宋体"/>
                <w:highlight w:val="none"/>
              </w:rPr>
            </w:pPr>
            <w:r>
              <w:rPr>
                <w:rFonts w:ascii="宋体" w:hAnsi="宋体" w:eastAsia="宋体"/>
                <w:highlight w:val="none"/>
              </w:rPr>
              <w:t>编列内容</w:t>
            </w:r>
          </w:p>
        </w:tc>
      </w:tr>
      <w:tr w14:paraId="2B58D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58" w:hRule="atLeast"/>
        </w:trPr>
        <w:tc>
          <w:tcPr>
            <w:tcW w:w="2211" w:type="dxa"/>
            <w:gridSpan w:val="3"/>
            <w:tcBorders>
              <w:bottom w:val="single" w:color="auto" w:sz="4" w:space="0"/>
              <w:right w:val="single" w:color="auto" w:sz="4" w:space="0"/>
            </w:tcBorders>
            <w:noWrap/>
            <w:vAlign w:val="center"/>
          </w:tcPr>
          <w:p w14:paraId="54D92449">
            <w:pPr>
              <w:widowControl/>
              <w:ind w:firstLine="420"/>
              <w:jc w:val="left"/>
              <w:rPr>
                <w:rFonts w:ascii="宋体" w:hAnsi="宋体" w:eastAsia="宋体"/>
                <w:highlight w:val="none"/>
              </w:rPr>
            </w:pPr>
            <w:r>
              <w:rPr>
                <w:rFonts w:ascii="宋体" w:hAnsi="宋体" w:eastAsia="宋体"/>
                <w:highlight w:val="none"/>
              </w:rPr>
              <w:t>2.2.1</w:t>
            </w:r>
          </w:p>
        </w:tc>
        <w:tc>
          <w:tcPr>
            <w:tcW w:w="1568" w:type="dxa"/>
            <w:tcBorders>
              <w:top w:val="single" w:color="auto" w:sz="4" w:space="0"/>
              <w:left w:val="single" w:color="auto" w:sz="4" w:space="0"/>
              <w:bottom w:val="single" w:color="auto" w:sz="4" w:space="0"/>
              <w:right w:val="single" w:color="auto" w:sz="4" w:space="0"/>
            </w:tcBorders>
            <w:noWrap/>
            <w:vAlign w:val="center"/>
          </w:tcPr>
          <w:p w14:paraId="0E182708">
            <w:pPr>
              <w:widowControl/>
              <w:spacing w:line="360" w:lineRule="exact"/>
              <w:ind w:firstLine="420"/>
              <w:jc w:val="left"/>
              <w:rPr>
                <w:rFonts w:ascii="宋体" w:hAnsi="宋体" w:eastAsia="宋体"/>
                <w:highlight w:val="none"/>
              </w:rPr>
            </w:pPr>
            <w:r>
              <w:rPr>
                <w:rFonts w:hint="eastAsia" w:ascii="宋体" w:hAnsi="宋体" w:eastAsia="宋体"/>
                <w:highlight w:val="none"/>
              </w:rPr>
              <w:t>分值构成</w:t>
            </w:r>
          </w:p>
          <w:p w14:paraId="6C2F349F">
            <w:pPr>
              <w:widowControl/>
              <w:spacing w:line="360" w:lineRule="exact"/>
              <w:ind w:firstLine="420"/>
              <w:jc w:val="left"/>
              <w:rPr>
                <w:rFonts w:ascii="宋体" w:hAnsi="宋体" w:eastAsia="宋体"/>
                <w:highlight w:val="none"/>
              </w:rPr>
            </w:pPr>
            <w:r>
              <w:rPr>
                <w:rFonts w:ascii="宋体" w:hAnsi="宋体" w:eastAsia="宋体"/>
                <w:highlight w:val="none"/>
              </w:rPr>
              <w:t>(总分100分)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54577153">
            <w:pPr>
              <w:widowControl/>
              <w:spacing w:line="360" w:lineRule="exact"/>
              <w:ind w:firstLine="420"/>
              <w:jc w:val="left"/>
              <w:rPr>
                <w:rFonts w:ascii="宋体" w:hAnsi="宋体" w:eastAsia="宋体"/>
                <w:highlight w:val="none"/>
              </w:rPr>
            </w:pPr>
            <w:r>
              <w:rPr>
                <w:rFonts w:hint="eastAsia" w:ascii="宋体" w:hAnsi="宋体" w:eastAsia="宋体"/>
                <w:highlight w:val="none"/>
              </w:rPr>
              <w:t>总分</w:t>
            </w:r>
            <w:r>
              <w:rPr>
                <w:rFonts w:ascii="宋体" w:hAnsi="宋体" w:eastAsia="宋体"/>
                <w:highlight w:val="none"/>
              </w:rPr>
              <w:t>100</w:t>
            </w:r>
            <w:r>
              <w:rPr>
                <w:rFonts w:hint="eastAsia" w:ascii="宋体" w:hAnsi="宋体" w:eastAsia="宋体"/>
                <w:highlight w:val="none"/>
              </w:rPr>
              <w:t>分</w:t>
            </w:r>
            <w:r>
              <w:rPr>
                <w:rFonts w:ascii="宋体" w:hAnsi="宋体" w:eastAsia="宋体"/>
                <w:highlight w:val="none"/>
              </w:rPr>
              <w:t>=</w:t>
            </w:r>
            <w:r>
              <w:rPr>
                <w:rFonts w:hint="eastAsia" w:ascii="宋体" w:hAnsi="宋体" w:eastAsia="宋体"/>
                <w:highlight w:val="none"/>
              </w:rPr>
              <w:t>商务部分（满分</w:t>
            </w:r>
            <w:r>
              <w:rPr>
                <w:rFonts w:ascii="宋体" w:hAnsi="宋体" w:eastAsia="宋体"/>
                <w:highlight w:val="none"/>
              </w:rPr>
              <w:t>40</w:t>
            </w:r>
            <w:r>
              <w:rPr>
                <w:rFonts w:hint="eastAsia" w:ascii="宋体" w:hAnsi="宋体" w:eastAsia="宋体"/>
                <w:highlight w:val="none"/>
              </w:rPr>
              <w:t>分）</w:t>
            </w:r>
            <w:r>
              <w:rPr>
                <w:rFonts w:ascii="宋体" w:hAnsi="宋体" w:eastAsia="宋体"/>
                <w:highlight w:val="none"/>
              </w:rPr>
              <w:t>+</w:t>
            </w:r>
            <w:r>
              <w:rPr>
                <w:rFonts w:hint="eastAsia" w:ascii="宋体" w:hAnsi="宋体" w:eastAsia="宋体"/>
                <w:highlight w:val="none"/>
              </w:rPr>
              <w:t>技术部分（满分</w:t>
            </w:r>
            <w:r>
              <w:rPr>
                <w:rFonts w:ascii="宋体" w:hAnsi="宋体" w:eastAsia="宋体"/>
                <w:highlight w:val="none"/>
              </w:rPr>
              <w:t>50</w:t>
            </w:r>
            <w:r>
              <w:rPr>
                <w:rFonts w:hint="eastAsia" w:ascii="宋体" w:hAnsi="宋体" w:eastAsia="宋体"/>
                <w:highlight w:val="none"/>
              </w:rPr>
              <w:t>分）</w:t>
            </w:r>
            <w:r>
              <w:rPr>
                <w:rFonts w:ascii="宋体" w:hAnsi="宋体" w:eastAsia="宋体"/>
                <w:highlight w:val="none"/>
              </w:rPr>
              <w:t>+</w:t>
            </w:r>
            <w:r>
              <w:rPr>
                <w:rFonts w:hint="eastAsia" w:ascii="宋体" w:hAnsi="宋体" w:eastAsia="宋体"/>
                <w:highlight w:val="none"/>
              </w:rPr>
              <w:t>投标报价得分（满分</w:t>
            </w:r>
            <w:r>
              <w:rPr>
                <w:rFonts w:ascii="宋体" w:hAnsi="宋体" w:eastAsia="宋体"/>
                <w:highlight w:val="none"/>
              </w:rPr>
              <w:t>10</w:t>
            </w:r>
            <w:r>
              <w:rPr>
                <w:rFonts w:hint="eastAsia" w:ascii="宋体" w:hAnsi="宋体" w:eastAsia="宋体"/>
                <w:highlight w:val="none"/>
              </w:rPr>
              <w:t>分）</w:t>
            </w:r>
          </w:p>
        </w:tc>
      </w:tr>
      <w:tr w14:paraId="058B9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Pr>
        <w:tc>
          <w:tcPr>
            <w:tcW w:w="2211" w:type="dxa"/>
            <w:gridSpan w:val="3"/>
            <w:tcBorders>
              <w:top w:val="single" w:color="auto" w:sz="4" w:space="0"/>
              <w:bottom w:val="single" w:color="auto" w:sz="4" w:space="0"/>
              <w:right w:val="single" w:color="auto" w:sz="4" w:space="0"/>
            </w:tcBorders>
            <w:noWrap/>
            <w:vAlign w:val="center"/>
          </w:tcPr>
          <w:p w14:paraId="7D1BE99D">
            <w:pPr>
              <w:widowControl/>
              <w:ind w:firstLine="420"/>
              <w:jc w:val="left"/>
              <w:rPr>
                <w:rFonts w:ascii="宋体" w:hAnsi="宋体" w:eastAsia="宋体"/>
                <w:highlight w:val="none"/>
              </w:rPr>
            </w:pPr>
            <w:r>
              <w:rPr>
                <w:rFonts w:ascii="宋体" w:hAnsi="宋体" w:eastAsia="宋体"/>
                <w:highlight w:val="none"/>
              </w:rPr>
              <w:t>2.2.2</w:t>
            </w:r>
          </w:p>
        </w:tc>
        <w:tc>
          <w:tcPr>
            <w:tcW w:w="1568" w:type="dxa"/>
            <w:tcBorders>
              <w:top w:val="single" w:color="auto" w:sz="4" w:space="0"/>
              <w:left w:val="single" w:color="auto" w:sz="4" w:space="0"/>
              <w:bottom w:val="single" w:color="auto" w:sz="4" w:space="0"/>
              <w:right w:val="single" w:color="auto" w:sz="4" w:space="0"/>
            </w:tcBorders>
            <w:noWrap/>
            <w:vAlign w:val="center"/>
          </w:tcPr>
          <w:p w14:paraId="238B394A">
            <w:pPr>
              <w:widowControl/>
              <w:spacing w:line="360" w:lineRule="exact"/>
              <w:ind w:firstLine="420"/>
              <w:jc w:val="left"/>
              <w:rPr>
                <w:rFonts w:ascii="宋体" w:hAnsi="宋体" w:eastAsia="宋体"/>
                <w:highlight w:val="none"/>
              </w:rPr>
            </w:pPr>
            <w:r>
              <w:rPr>
                <w:rFonts w:ascii="宋体" w:hAnsi="宋体" w:eastAsia="宋体"/>
                <w:highlight w:val="none"/>
              </w:rPr>
              <w:t>评标基准价计算方法</w:t>
            </w:r>
          </w:p>
        </w:tc>
        <w:tc>
          <w:tcPr>
            <w:tcW w:w="6219" w:type="dxa"/>
            <w:tcBorders>
              <w:top w:val="single" w:color="auto" w:sz="4" w:space="0"/>
              <w:left w:val="single" w:color="auto" w:sz="4" w:space="0"/>
              <w:bottom w:val="single" w:color="auto" w:sz="4" w:space="0"/>
              <w:right w:val="single" w:color="auto" w:sz="4" w:space="0"/>
            </w:tcBorders>
            <w:noWrap/>
            <w:vAlign w:val="center"/>
          </w:tcPr>
          <w:p w14:paraId="72EC0A19">
            <w:pPr>
              <w:widowControl/>
              <w:spacing w:line="360" w:lineRule="exact"/>
              <w:ind w:firstLine="420"/>
              <w:jc w:val="left"/>
              <w:rPr>
                <w:rFonts w:ascii="宋体" w:hAnsi="宋体" w:eastAsia="宋体"/>
                <w:highlight w:val="none"/>
              </w:rPr>
            </w:pPr>
            <w:r>
              <w:rPr>
                <w:rFonts w:hint="eastAsia" w:ascii="宋体" w:hAnsi="宋体" w:eastAsia="宋体"/>
                <w:highlight w:val="none"/>
              </w:rPr>
              <w:t>在通过形式、资格、响应性评审的有效投标人</w:t>
            </w:r>
            <w:r>
              <w:rPr>
                <w:rFonts w:ascii="宋体" w:hAnsi="宋体" w:eastAsia="宋体"/>
                <w:highlight w:val="none"/>
              </w:rPr>
              <w:t>的</w:t>
            </w:r>
            <w:r>
              <w:rPr>
                <w:rFonts w:hint="eastAsia" w:ascii="宋体" w:hAnsi="宋体" w:eastAsia="宋体"/>
                <w:highlight w:val="none"/>
              </w:rPr>
              <w:t>投标报价中，以最低的投标报价为评标基准价。</w:t>
            </w:r>
            <w:r>
              <w:rPr>
                <w:rFonts w:ascii="宋体" w:hAnsi="宋体" w:eastAsia="宋体"/>
                <w:highlight w:val="none"/>
              </w:rPr>
              <w:t xml:space="preserve"> </w:t>
            </w:r>
          </w:p>
        </w:tc>
      </w:tr>
      <w:tr w14:paraId="44CF8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87" w:hRule="atLeast"/>
        </w:trPr>
        <w:tc>
          <w:tcPr>
            <w:tcW w:w="2211" w:type="dxa"/>
            <w:gridSpan w:val="3"/>
            <w:tcBorders>
              <w:top w:val="single" w:color="auto" w:sz="4" w:space="0"/>
              <w:bottom w:val="single" w:color="auto" w:sz="4" w:space="0"/>
              <w:right w:val="single" w:color="auto" w:sz="4" w:space="0"/>
            </w:tcBorders>
            <w:noWrap/>
            <w:vAlign w:val="center"/>
          </w:tcPr>
          <w:p w14:paraId="6645BEC8">
            <w:pPr>
              <w:widowControl/>
              <w:ind w:firstLine="422"/>
              <w:jc w:val="center"/>
              <w:rPr>
                <w:rFonts w:ascii="宋体" w:hAnsi="宋体" w:eastAsia="宋体"/>
                <w:b/>
                <w:bCs/>
                <w:highlight w:val="none"/>
              </w:rPr>
            </w:pPr>
            <w:r>
              <w:rPr>
                <w:rFonts w:hint="eastAsia" w:ascii="宋体" w:hAnsi="宋体" w:eastAsia="宋体"/>
                <w:b/>
                <w:bCs/>
                <w:highlight w:val="none"/>
              </w:rPr>
              <w:t>条款号</w:t>
            </w:r>
          </w:p>
        </w:tc>
        <w:tc>
          <w:tcPr>
            <w:tcW w:w="1568" w:type="dxa"/>
            <w:tcBorders>
              <w:top w:val="single" w:color="auto" w:sz="4" w:space="0"/>
              <w:left w:val="single" w:color="auto" w:sz="4" w:space="0"/>
              <w:bottom w:val="single" w:color="auto" w:sz="4" w:space="0"/>
              <w:right w:val="single" w:color="auto" w:sz="4" w:space="0"/>
            </w:tcBorders>
            <w:noWrap/>
            <w:vAlign w:val="center"/>
          </w:tcPr>
          <w:p w14:paraId="028829E2">
            <w:pPr>
              <w:widowControl/>
              <w:spacing w:line="360" w:lineRule="exact"/>
              <w:ind w:firstLine="420"/>
              <w:jc w:val="center"/>
              <w:rPr>
                <w:rFonts w:ascii="宋体" w:hAnsi="宋体" w:eastAsia="宋体"/>
                <w:highlight w:val="none"/>
              </w:rPr>
            </w:pPr>
            <w:r>
              <w:rPr>
                <w:rFonts w:hint="eastAsia" w:ascii="宋体" w:hAnsi="宋体" w:eastAsia="宋体"/>
                <w:highlight w:val="none"/>
              </w:rPr>
              <w:t>评分因素（偏差率）</w:t>
            </w:r>
          </w:p>
        </w:tc>
        <w:tc>
          <w:tcPr>
            <w:tcW w:w="6219" w:type="dxa"/>
            <w:tcBorders>
              <w:top w:val="single" w:color="auto" w:sz="4" w:space="0"/>
              <w:left w:val="single" w:color="auto" w:sz="4" w:space="0"/>
              <w:bottom w:val="single" w:color="auto" w:sz="4" w:space="0"/>
              <w:right w:val="single" w:color="auto" w:sz="4" w:space="0"/>
            </w:tcBorders>
            <w:noWrap/>
            <w:vAlign w:val="center"/>
          </w:tcPr>
          <w:p w14:paraId="2C90DB8D">
            <w:pPr>
              <w:widowControl/>
              <w:spacing w:line="360" w:lineRule="exact"/>
              <w:ind w:firstLine="420"/>
              <w:jc w:val="center"/>
              <w:rPr>
                <w:rFonts w:ascii="宋体" w:hAnsi="宋体" w:eastAsia="宋体"/>
                <w:highlight w:val="none"/>
              </w:rPr>
            </w:pPr>
            <w:r>
              <w:rPr>
                <w:rFonts w:hint="eastAsia" w:ascii="宋体" w:hAnsi="宋体" w:eastAsia="宋体"/>
                <w:highlight w:val="none"/>
              </w:rPr>
              <w:t>评分标准</w:t>
            </w:r>
          </w:p>
        </w:tc>
      </w:tr>
      <w:tr w14:paraId="5DF29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912" w:hRule="atLeast"/>
        </w:trPr>
        <w:tc>
          <w:tcPr>
            <w:tcW w:w="907" w:type="dxa"/>
            <w:gridSpan w:val="2"/>
            <w:vMerge w:val="restart"/>
            <w:tcBorders>
              <w:top w:val="single" w:color="auto" w:sz="4" w:space="0"/>
              <w:right w:val="single" w:color="auto" w:sz="4" w:space="0"/>
            </w:tcBorders>
            <w:noWrap/>
            <w:vAlign w:val="center"/>
          </w:tcPr>
          <w:p w14:paraId="54988B6B">
            <w:pPr>
              <w:widowControl/>
              <w:ind w:firstLine="420"/>
              <w:jc w:val="left"/>
              <w:rPr>
                <w:rFonts w:ascii="宋体" w:hAnsi="宋体" w:eastAsia="宋体"/>
                <w:highlight w:val="none"/>
              </w:rPr>
            </w:pPr>
            <w:r>
              <w:rPr>
                <w:rFonts w:ascii="宋体" w:hAnsi="宋体" w:eastAsia="宋体"/>
                <w:highlight w:val="none"/>
              </w:rPr>
              <w:t>2.2.</w:t>
            </w:r>
            <w:r>
              <w:rPr>
                <w:rFonts w:hint="eastAsia" w:ascii="宋体" w:hAnsi="宋体" w:eastAsia="宋体"/>
                <w:highlight w:val="none"/>
              </w:rPr>
              <w:t>3</w:t>
            </w:r>
            <w:r>
              <w:rPr>
                <w:rFonts w:ascii="宋体" w:hAnsi="宋体" w:eastAsia="宋体"/>
                <w:highlight w:val="none"/>
              </w:rPr>
              <w:t>（1）</w:t>
            </w:r>
          </w:p>
        </w:tc>
        <w:tc>
          <w:tcPr>
            <w:tcW w:w="1304" w:type="dxa"/>
            <w:vMerge w:val="restart"/>
            <w:tcBorders>
              <w:top w:val="single" w:color="auto" w:sz="4" w:space="0"/>
              <w:right w:val="single" w:color="auto" w:sz="4" w:space="0"/>
            </w:tcBorders>
            <w:vAlign w:val="center"/>
          </w:tcPr>
          <w:p w14:paraId="665759BB">
            <w:pPr>
              <w:widowControl/>
              <w:ind w:firstLine="420"/>
              <w:jc w:val="left"/>
              <w:rPr>
                <w:rFonts w:ascii="宋体" w:hAnsi="宋体" w:eastAsia="宋体"/>
                <w:highlight w:val="none"/>
              </w:rPr>
            </w:pPr>
            <w:r>
              <w:rPr>
                <w:rFonts w:hint="eastAsia" w:ascii="宋体" w:hAnsi="宋体" w:eastAsia="宋体"/>
                <w:highlight w:val="none"/>
              </w:rPr>
              <w:t>商务部分评分标准（40</w:t>
            </w:r>
            <w:r>
              <w:rPr>
                <w:rFonts w:ascii="宋体" w:hAnsi="宋体" w:eastAsia="宋体"/>
                <w:highlight w:val="none"/>
              </w:rPr>
              <w:t>分）</w:t>
            </w:r>
          </w:p>
        </w:tc>
        <w:tc>
          <w:tcPr>
            <w:tcW w:w="1568" w:type="dxa"/>
            <w:tcBorders>
              <w:top w:val="single" w:color="auto" w:sz="4" w:space="0"/>
              <w:left w:val="single" w:color="auto" w:sz="4" w:space="0"/>
              <w:right w:val="single" w:color="auto" w:sz="4" w:space="0"/>
            </w:tcBorders>
            <w:noWrap/>
            <w:vAlign w:val="center"/>
          </w:tcPr>
          <w:p w14:paraId="6C81ED3B">
            <w:pPr>
              <w:widowControl/>
              <w:spacing w:line="360" w:lineRule="exact"/>
              <w:ind w:firstLine="420"/>
              <w:jc w:val="left"/>
              <w:rPr>
                <w:rFonts w:ascii="宋体" w:hAnsi="宋体" w:eastAsia="宋体"/>
                <w:highlight w:val="none"/>
              </w:rPr>
            </w:pPr>
            <w:r>
              <w:rPr>
                <w:rFonts w:ascii="宋体" w:hAnsi="宋体" w:eastAsia="宋体"/>
                <w:highlight w:val="none"/>
              </w:rPr>
              <w:t>项目业绩</w:t>
            </w:r>
          </w:p>
          <w:p w14:paraId="3FAFA504">
            <w:pPr>
              <w:widowControl/>
              <w:spacing w:line="360" w:lineRule="exact"/>
              <w:ind w:firstLine="420"/>
              <w:jc w:val="left"/>
              <w:rPr>
                <w:rFonts w:ascii="宋体" w:hAnsi="宋体" w:eastAsia="宋体"/>
                <w:highlight w:val="none"/>
              </w:rPr>
            </w:pPr>
            <w:r>
              <w:rPr>
                <w:rFonts w:ascii="宋体" w:hAnsi="宋体" w:eastAsia="宋体"/>
                <w:highlight w:val="none"/>
              </w:rPr>
              <w:t xml:space="preserve"> (</w:t>
            </w:r>
            <w:r>
              <w:rPr>
                <w:rFonts w:hint="eastAsia" w:ascii="宋体" w:hAnsi="宋体" w:eastAsia="宋体"/>
                <w:highlight w:val="none"/>
              </w:rPr>
              <w:t>12</w:t>
            </w:r>
            <w:r>
              <w:rPr>
                <w:rFonts w:ascii="宋体" w:hAnsi="宋体" w:eastAsia="宋体"/>
                <w:highlight w:val="none"/>
              </w:rPr>
              <w:t>分)</w:t>
            </w:r>
          </w:p>
        </w:tc>
        <w:tc>
          <w:tcPr>
            <w:tcW w:w="6219" w:type="dxa"/>
            <w:tcBorders>
              <w:top w:val="single" w:color="auto" w:sz="4" w:space="0"/>
              <w:left w:val="single" w:color="auto" w:sz="4" w:space="0"/>
              <w:right w:val="single" w:color="auto" w:sz="4" w:space="0"/>
            </w:tcBorders>
            <w:noWrap/>
            <w:vAlign w:val="center"/>
          </w:tcPr>
          <w:p w14:paraId="08E11B24">
            <w:pPr>
              <w:widowControl/>
              <w:spacing w:line="360" w:lineRule="exact"/>
              <w:ind w:firstLine="420"/>
              <w:rPr>
                <w:rFonts w:ascii="宋体" w:hAnsi="宋体" w:eastAsia="宋体"/>
                <w:highlight w:val="none"/>
              </w:rPr>
            </w:pPr>
            <w:r>
              <w:rPr>
                <w:rFonts w:hint="eastAsia" w:ascii="宋体" w:hAnsi="宋体" w:eastAsia="宋体"/>
                <w:highlight w:val="none"/>
              </w:rPr>
              <w:t>2020年1月1日起至今（以合同签订时间为准），投标人承担过同类项目业绩，每提供一项得</w:t>
            </w:r>
            <w:r>
              <w:rPr>
                <w:rFonts w:ascii="宋体" w:hAnsi="宋体" w:eastAsia="宋体"/>
                <w:highlight w:val="none"/>
              </w:rPr>
              <w:t>3</w:t>
            </w:r>
            <w:r>
              <w:rPr>
                <w:rFonts w:hint="eastAsia" w:ascii="宋体" w:hAnsi="宋体" w:eastAsia="宋体"/>
                <w:highlight w:val="none"/>
              </w:rPr>
              <w:t>分，最高得</w:t>
            </w:r>
            <w:r>
              <w:rPr>
                <w:rFonts w:ascii="宋体" w:hAnsi="宋体" w:eastAsia="宋体"/>
                <w:highlight w:val="none"/>
              </w:rPr>
              <w:t>12</w:t>
            </w:r>
            <w:r>
              <w:rPr>
                <w:rFonts w:hint="eastAsia" w:ascii="宋体" w:hAnsi="宋体" w:eastAsia="宋体"/>
                <w:highlight w:val="none"/>
              </w:rPr>
              <w:t>分。</w:t>
            </w:r>
          </w:p>
          <w:p w14:paraId="7820E6A0">
            <w:pPr>
              <w:widowControl/>
              <w:spacing w:line="360" w:lineRule="exact"/>
              <w:ind w:firstLine="420"/>
              <w:jc w:val="left"/>
              <w:rPr>
                <w:rFonts w:ascii="宋体" w:hAnsi="宋体" w:eastAsia="宋体"/>
                <w:highlight w:val="none"/>
              </w:rPr>
            </w:pPr>
            <w:r>
              <w:rPr>
                <w:rFonts w:hint="eastAsia" w:ascii="宋体" w:hAnsi="宋体" w:eastAsia="宋体"/>
                <w:highlight w:val="none"/>
              </w:rPr>
              <w:t>注：同一项目业绩不重复计分，需提供合同关键页（含签订合同双方的单位名称、合同项目名称、项目金额与含签订合同双方的落款盖章、签订日期的关键页）。</w:t>
            </w:r>
          </w:p>
        </w:tc>
      </w:tr>
      <w:tr w14:paraId="3136E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 w:hRule="atLeast"/>
        </w:trPr>
        <w:tc>
          <w:tcPr>
            <w:tcW w:w="907" w:type="dxa"/>
            <w:gridSpan w:val="2"/>
            <w:vMerge w:val="continue"/>
            <w:tcBorders>
              <w:right w:val="single" w:color="auto" w:sz="4" w:space="0"/>
            </w:tcBorders>
            <w:noWrap/>
            <w:vAlign w:val="center"/>
          </w:tcPr>
          <w:p w14:paraId="7F318C66">
            <w:pPr>
              <w:widowControl/>
              <w:ind w:firstLine="420"/>
              <w:jc w:val="left"/>
              <w:rPr>
                <w:rFonts w:ascii="宋体" w:hAnsi="宋体" w:eastAsia="宋体"/>
                <w:highlight w:val="none"/>
              </w:rPr>
            </w:pPr>
          </w:p>
        </w:tc>
        <w:tc>
          <w:tcPr>
            <w:tcW w:w="1304" w:type="dxa"/>
            <w:vMerge w:val="continue"/>
            <w:tcBorders>
              <w:right w:val="single" w:color="auto" w:sz="4" w:space="0"/>
            </w:tcBorders>
            <w:vAlign w:val="center"/>
          </w:tcPr>
          <w:p w14:paraId="0AE5CF1C">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5A7AD4B3">
            <w:pPr>
              <w:widowControl/>
              <w:spacing w:line="360" w:lineRule="exact"/>
              <w:ind w:firstLine="420"/>
              <w:jc w:val="left"/>
              <w:rPr>
                <w:rFonts w:ascii="宋体" w:hAnsi="宋体" w:eastAsia="宋体"/>
                <w:highlight w:val="none"/>
              </w:rPr>
            </w:pPr>
            <w:bookmarkStart w:id="316" w:name="OLE_LINK50"/>
            <w:bookmarkStart w:id="317" w:name="OLE_LINK49"/>
            <w:bookmarkStart w:id="318" w:name="OLE_LINK46"/>
            <w:r>
              <w:rPr>
                <w:rFonts w:hint="eastAsia" w:ascii="宋体" w:hAnsi="宋体" w:eastAsia="宋体"/>
                <w:highlight w:val="none"/>
              </w:rPr>
              <w:t>项目负责人专业技术水平</w:t>
            </w:r>
            <w:bookmarkEnd w:id="316"/>
            <w:bookmarkEnd w:id="317"/>
            <w:bookmarkEnd w:id="318"/>
            <w:r>
              <w:rPr>
                <w:rFonts w:ascii="宋体" w:hAnsi="宋体" w:eastAsia="宋体"/>
                <w:highlight w:val="none"/>
              </w:rPr>
              <w:t xml:space="preserve"> (8分)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136189F1">
            <w:pPr>
              <w:widowControl/>
              <w:spacing w:line="360" w:lineRule="exact"/>
              <w:ind w:firstLine="420"/>
              <w:rPr>
                <w:rFonts w:ascii="宋体" w:hAnsi="宋体" w:eastAsia="宋体"/>
                <w:highlight w:val="none"/>
              </w:rPr>
            </w:pPr>
            <w:bookmarkStart w:id="319" w:name="OLE_LINK51"/>
            <w:r>
              <w:rPr>
                <w:rFonts w:hint="eastAsia" w:ascii="宋体" w:hAnsi="宋体" w:eastAsia="宋体"/>
                <w:highlight w:val="none"/>
              </w:rPr>
              <w:t>项目负责人基本情况：</w:t>
            </w:r>
          </w:p>
          <w:p w14:paraId="69652FD5">
            <w:pPr>
              <w:widowControl/>
              <w:spacing w:line="360" w:lineRule="exact"/>
              <w:ind w:firstLine="420"/>
              <w:rPr>
                <w:rFonts w:ascii="宋体" w:hAnsi="宋体" w:eastAsia="宋体"/>
                <w:highlight w:val="none"/>
              </w:rPr>
            </w:pPr>
            <w:r>
              <w:rPr>
                <w:rFonts w:hint="eastAsia" w:ascii="宋体" w:hAnsi="宋体" w:eastAsia="宋体"/>
                <w:highlight w:val="none"/>
              </w:rPr>
              <w:t>(1)具备城市（乡）规划专业高级（或以上）工程师职称的，得4分；具备城市（乡）规划专业中级工程师职称的，得2分。</w:t>
            </w:r>
          </w:p>
          <w:p w14:paraId="5DC59F51">
            <w:pPr>
              <w:widowControl/>
              <w:spacing w:line="360" w:lineRule="exact"/>
              <w:ind w:firstLine="420"/>
              <w:rPr>
                <w:rFonts w:ascii="宋体" w:hAnsi="宋体" w:eastAsia="宋体"/>
                <w:highlight w:val="none"/>
              </w:rPr>
            </w:pPr>
            <w:r>
              <w:rPr>
                <w:rFonts w:hint="eastAsia" w:ascii="宋体" w:hAnsi="宋体" w:eastAsia="宋体"/>
                <w:highlight w:val="none"/>
              </w:rPr>
              <w:t>（2）具备注册城市（乡）规划师的，得4分。</w:t>
            </w:r>
          </w:p>
          <w:p w14:paraId="0D438835">
            <w:pPr>
              <w:widowControl/>
              <w:spacing w:line="360" w:lineRule="exact"/>
              <w:ind w:firstLine="420"/>
              <w:rPr>
                <w:rFonts w:ascii="宋体" w:hAnsi="宋体" w:eastAsia="宋体"/>
                <w:highlight w:val="none"/>
              </w:rPr>
            </w:pPr>
            <w:r>
              <w:rPr>
                <w:rFonts w:hint="eastAsia" w:ascii="宋体" w:hAnsi="宋体" w:eastAsia="宋体"/>
                <w:highlight w:val="none"/>
              </w:rPr>
              <w:t>以上两项合计最高得8分。</w:t>
            </w:r>
          </w:p>
          <w:p w14:paraId="45A17BCA">
            <w:pPr>
              <w:widowControl/>
              <w:spacing w:line="360" w:lineRule="exact"/>
              <w:ind w:firstLine="420"/>
              <w:jc w:val="left"/>
              <w:rPr>
                <w:rFonts w:ascii="宋体" w:hAnsi="宋体" w:eastAsia="宋体"/>
                <w:highlight w:val="none"/>
              </w:rPr>
            </w:pPr>
            <w:r>
              <w:rPr>
                <w:rFonts w:hint="eastAsia" w:ascii="宋体" w:hAnsi="宋体" w:eastAsia="宋体"/>
                <w:highlight w:val="none"/>
              </w:rPr>
              <w:t>注：需提供项目负责人的注册证书、职称证复印件及近六个月内任意一月在本投标单位购买的有效社保证明，否则不得分。</w:t>
            </w:r>
            <w:bookmarkEnd w:id="319"/>
          </w:p>
        </w:tc>
      </w:tr>
      <w:tr w14:paraId="6A9E6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16" w:hRule="atLeast"/>
        </w:trPr>
        <w:tc>
          <w:tcPr>
            <w:tcW w:w="907" w:type="dxa"/>
            <w:gridSpan w:val="2"/>
            <w:vMerge w:val="continue"/>
            <w:tcBorders>
              <w:right w:val="single" w:color="auto" w:sz="4" w:space="0"/>
            </w:tcBorders>
            <w:noWrap/>
            <w:vAlign w:val="center"/>
          </w:tcPr>
          <w:p w14:paraId="20DC636F">
            <w:pPr>
              <w:widowControl/>
              <w:ind w:firstLine="420"/>
              <w:jc w:val="left"/>
              <w:rPr>
                <w:rFonts w:ascii="宋体" w:hAnsi="宋体" w:eastAsia="宋体"/>
                <w:highlight w:val="none"/>
              </w:rPr>
            </w:pPr>
          </w:p>
        </w:tc>
        <w:tc>
          <w:tcPr>
            <w:tcW w:w="1304" w:type="dxa"/>
            <w:vMerge w:val="continue"/>
            <w:tcBorders>
              <w:right w:val="single" w:color="auto" w:sz="4" w:space="0"/>
            </w:tcBorders>
            <w:vAlign w:val="center"/>
          </w:tcPr>
          <w:p w14:paraId="695C4958">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322639AA">
            <w:pPr>
              <w:widowControl/>
              <w:spacing w:line="360" w:lineRule="exact"/>
              <w:ind w:firstLine="420"/>
              <w:jc w:val="left"/>
              <w:rPr>
                <w:rFonts w:ascii="宋体" w:hAnsi="宋体" w:eastAsia="宋体"/>
                <w:highlight w:val="none"/>
              </w:rPr>
            </w:pPr>
            <w:r>
              <w:rPr>
                <w:rFonts w:hint="eastAsia" w:ascii="宋体" w:hAnsi="宋体" w:eastAsia="宋体"/>
                <w:highlight w:val="none"/>
              </w:rPr>
              <w:t>项目服务团队人员情况（15分）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3175CE5F">
            <w:pPr>
              <w:spacing w:line="360" w:lineRule="exact"/>
              <w:ind w:firstLine="420"/>
              <w:rPr>
                <w:rFonts w:ascii="宋体" w:hAnsi="宋体" w:eastAsia="宋体"/>
                <w:highlight w:val="none"/>
              </w:rPr>
            </w:pPr>
            <w:r>
              <w:rPr>
                <w:rFonts w:hint="eastAsia" w:ascii="宋体" w:hAnsi="宋体" w:eastAsia="宋体"/>
                <w:highlight w:val="none"/>
              </w:rPr>
              <w:t>投标人拟派项目团队配备（除项目负责人）情况：</w:t>
            </w:r>
          </w:p>
          <w:p w14:paraId="5FAE60B4">
            <w:pPr>
              <w:spacing w:line="360" w:lineRule="exact"/>
              <w:ind w:firstLine="420"/>
              <w:rPr>
                <w:rFonts w:ascii="宋体" w:hAnsi="宋体" w:eastAsia="宋体"/>
                <w:highlight w:val="none"/>
              </w:rPr>
            </w:pPr>
            <w:r>
              <w:rPr>
                <w:rFonts w:hint="eastAsia" w:ascii="宋体" w:hAnsi="宋体" w:eastAsia="宋体"/>
                <w:highlight w:val="none"/>
              </w:rPr>
              <w:t>配备项目开展所需规划、建筑、国土等专业人员：</w:t>
            </w:r>
          </w:p>
          <w:p w14:paraId="5F5D4CA4">
            <w:pPr>
              <w:spacing w:line="360" w:lineRule="exact"/>
              <w:ind w:firstLine="420"/>
              <w:rPr>
                <w:rFonts w:ascii="宋体" w:hAnsi="宋体" w:eastAsia="宋体"/>
                <w:highlight w:val="none"/>
              </w:rPr>
            </w:pPr>
            <w:r>
              <w:rPr>
                <w:rFonts w:hint="eastAsia" w:ascii="宋体" w:hAnsi="宋体" w:eastAsia="宋体"/>
                <w:highlight w:val="none"/>
              </w:rPr>
              <w:t>（</w:t>
            </w:r>
            <w:r>
              <w:rPr>
                <w:rFonts w:ascii="宋体" w:hAnsi="宋体" w:eastAsia="宋体"/>
                <w:highlight w:val="none"/>
              </w:rPr>
              <w:t>1</w:t>
            </w:r>
            <w:r>
              <w:rPr>
                <w:rFonts w:hint="eastAsia" w:ascii="宋体" w:hAnsi="宋体" w:eastAsia="宋体"/>
                <w:highlight w:val="none"/>
              </w:rPr>
              <w:t>）项目团队具有城市（城乡）规划专业高级（或以上）职称资格，每个得</w:t>
            </w:r>
            <w:r>
              <w:rPr>
                <w:rFonts w:ascii="宋体" w:hAnsi="宋体" w:eastAsia="宋体"/>
                <w:highlight w:val="none"/>
              </w:rPr>
              <w:t>3</w:t>
            </w:r>
            <w:r>
              <w:rPr>
                <w:rFonts w:hint="eastAsia" w:ascii="宋体" w:hAnsi="宋体" w:eastAsia="宋体"/>
                <w:highlight w:val="none"/>
              </w:rPr>
              <w:t>分；具有城市（城乡）规划专业中级职称资格，每个得</w:t>
            </w:r>
            <w:r>
              <w:rPr>
                <w:rFonts w:ascii="宋体" w:hAnsi="宋体" w:eastAsia="宋体"/>
                <w:highlight w:val="none"/>
              </w:rPr>
              <w:t>1</w:t>
            </w:r>
            <w:r>
              <w:rPr>
                <w:rFonts w:hint="eastAsia" w:ascii="宋体" w:hAnsi="宋体" w:eastAsia="宋体"/>
                <w:highlight w:val="none"/>
              </w:rPr>
              <w:t>分；其他不得分；本小项最高得</w:t>
            </w:r>
            <w:r>
              <w:rPr>
                <w:rFonts w:ascii="宋体" w:hAnsi="宋体" w:eastAsia="宋体"/>
                <w:highlight w:val="none"/>
              </w:rPr>
              <w:t>9</w:t>
            </w:r>
            <w:r>
              <w:rPr>
                <w:rFonts w:hint="eastAsia" w:ascii="宋体" w:hAnsi="宋体" w:eastAsia="宋体"/>
                <w:highlight w:val="none"/>
              </w:rPr>
              <w:t>分。</w:t>
            </w:r>
          </w:p>
          <w:p w14:paraId="1A291F83">
            <w:pPr>
              <w:spacing w:line="360" w:lineRule="exact"/>
              <w:ind w:firstLine="420"/>
              <w:rPr>
                <w:rFonts w:ascii="宋体" w:hAnsi="宋体" w:eastAsia="宋体"/>
                <w:highlight w:val="none"/>
              </w:rPr>
            </w:pPr>
            <w:r>
              <w:rPr>
                <w:rFonts w:hint="eastAsia" w:ascii="宋体" w:hAnsi="宋体" w:eastAsia="宋体"/>
                <w:highlight w:val="none"/>
              </w:rPr>
              <w:t>（</w:t>
            </w:r>
            <w:r>
              <w:rPr>
                <w:rFonts w:ascii="宋体" w:hAnsi="宋体" w:eastAsia="宋体"/>
                <w:highlight w:val="none"/>
              </w:rPr>
              <w:t>2</w:t>
            </w:r>
            <w:r>
              <w:rPr>
                <w:rFonts w:hint="eastAsia" w:ascii="宋体" w:hAnsi="宋体" w:eastAsia="宋体"/>
                <w:highlight w:val="none"/>
              </w:rPr>
              <w:t>）项目团队具有建筑类专业高级（或以上）职称资格，得</w:t>
            </w:r>
            <w:r>
              <w:rPr>
                <w:rFonts w:ascii="宋体" w:hAnsi="宋体" w:eastAsia="宋体"/>
                <w:highlight w:val="none"/>
              </w:rPr>
              <w:t>3</w:t>
            </w:r>
            <w:r>
              <w:rPr>
                <w:rFonts w:hint="eastAsia" w:ascii="宋体" w:hAnsi="宋体" w:eastAsia="宋体"/>
                <w:highlight w:val="none"/>
              </w:rPr>
              <w:t>分；具有建筑类专业中级职称资格，得</w:t>
            </w:r>
            <w:r>
              <w:rPr>
                <w:rFonts w:ascii="宋体" w:hAnsi="宋体" w:eastAsia="宋体"/>
                <w:highlight w:val="none"/>
              </w:rPr>
              <w:t>1</w:t>
            </w:r>
            <w:r>
              <w:rPr>
                <w:rFonts w:hint="eastAsia" w:ascii="宋体" w:hAnsi="宋体" w:eastAsia="宋体"/>
                <w:highlight w:val="none"/>
              </w:rPr>
              <w:t>分；其他不得分；本小项最高得</w:t>
            </w:r>
            <w:r>
              <w:rPr>
                <w:rFonts w:ascii="宋体" w:hAnsi="宋体" w:eastAsia="宋体"/>
                <w:highlight w:val="none"/>
              </w:rPr>
              <w:t>3</w:t>
            </w:r>
            <w:r>
              <w:rPr>
                <w:rFonts w:hint="eastAsia" w:ascii="宋体" w:hAnsi="宋体" w:eastAsia="宋体"/>
                <w:highlight w:val="none"/>
              </w:rPr>
              <w:t>分。</w:t>
            </w:r>
          </w:p>
          <w:p w14:paraId="31BF170F">
            <w:pPr>
              <w:spacing w:line="360" w:lineRule="exact"/>
              <w:ind w:firstLine="420"/>
              <w:rPr>
                <w:rFonts w:ascii="宋体" w:hAnsi="宋体" w:eastAsia="宋体"/>
                <w:highlight w:val="none"/>
              </w:rPr>
            </w:pPr>
            <w:r>
              <w:rPr>
                <w:rFonts w:hint="eastAsia" w:ascii="宋体" w:hAnsi="宋体" w:eastAsia="宋体"/>
                <w:highlight w:val="none"/>
              </w:rPr>
              <w:t>（</w:t>
            </w:r>
            <w:r>
              <w:rPr>
                <w:rFonts w:ascii="宋体" w:hAnsi="宋体" w:eastAsia="宋体"/>
                <w:highlight w:val="none"/>
              </w:rPr>
              <w:t>3</w:t>
            </w:r>
            <w:r>
              <w:rPr>
                <w:rFonts w:hint="eastAsia" w:ascii="宋体" w:hAnsi="宋体" w:eastAsia="宋体"/>
                <w:highlight w:val="none"/>
              </w:rPr>
              <w:t>）项目团队具有国土类专业高级（或以上）职称资格，得</w:t>
            </w:r>
            <w:r>
              <w:rPr>
                <w:rFonts w:ascii="宋体" w:hAnsi="宋体" w:eastAsia="宋体"/>
                <w:highlight w:val="none"/>
              </w:rPr>
              <w:t>3</w:t>
            </w:r>
            <w:r>
              <w:rPr>
                <w:rFonts w:hint="eastAsia" w:ascii="宋体" w:hAnsi="宋体" w:eastAsia="宋体"/>
                <w:highlight w:val="none"/>
              </w:rPr>
              <w:t>分；具有国土类专业中级职称资格，得</w:t>
            </w:r>
            <w:r>
              <w:rPr>
                <w:rFonts w:ascii="宋体" w:hAnsi="宋体" w:eastAsia="宋体"/>
                <w:highlight w:val="none"/>
              </w:rPr>
              <w:t>1</w:t>
            </w:r>
            <w:r>
              <w:rPr>
                <w:rFonts w:hint="eastAsia" w:ascii="宋体" w:hAnsi="宋体" w:eastAsia="宋体"/>
                <w:highlight w:val="none"/>
              </w:rPr>
              <w:t>分；其他不得分；本小项最高得</w:t>
            </w:r>
            <w:r>
              <w:rPr>
                <w:rFonts w:ascii="宋体" w:hAnsi="宋体" w:eastAsia="宋体"/>
                <w:highlight w:val="none"/>
              </w:rPr>
              <w:t>3</w:t>
            </w:r>
            <w:r>
              <w:rPr>
                <w:rFonts w:hint="eastAsia" w:ascii="宋体" w:hAnsi="宋体" w:eastAsia="宋体"/>
                <w:highlight w:val="none"/>
              </w:rPr>
              <w:t>分。</w:t>
            </w:r>
          </w:p>
          <w:p w14:paraId="03AEEEA5">
            <w:pPr>
              <w:spacing w:line="360" w:lineRule="exact"/>
              <w:ind w:firstLine="420"/>
              <w:rPr>
                <w:rFonts w:ascii="宋体" w:hAnsi="宋体" w:eastAsia="宋体"/>
                <w:highlight w:val="none"/>
              </w:rPr>
            </w:pPr>
            <w:r>
              <w:rPr>
                <w:rFonts w:hint="eastAsia" w:ascii="宋体" w:hAnsi="宋体" w:eastAsia="宋体"/>
                <w:highlight w:val="none"/>
              </w:rPr>
              <w:t>以上</w:t>
            </w:r>
            <w:r>
              <w:rPr>
                <w:rFonts w:ascii="宋体" w:hAnsi="宋体" w:eastAsia="宋体"/>
                <w:highlight w:val="none"/>
              </w:rPr>
              <w:t>3</w:t>
            </w:r>
            <w:r>
              <w:rPr>
                <w:rFonts w:hint="eastAsia" w:ascii="宋体" w:hAnsi="宋体" w:eastAsia="宋体"/>
                <w:highlight w:val="none"/>
              </w:rPr>
              <w:t>项合计最高得</w:t>
            </w:r>
            <w:r>
              <w:rPr>
                <w:rFonts w:ascii="宋体" w:hAnsi="宋体" w:eastAsia="宋体"/>
                <w:highlight w:val="none"/>
              </w:rPr>
              <w:t>15</w:t>
            </w:r>
            <w:r>
              <w:rPr>
                <w:rFonts w:hint="eastAsia" w:ascii="宋体" w:hAnsi="宋体" w:eastAsia="宋体"/>
                <w:highlight w:val="none"/>
              </w:rPr>
              <w:t>分。</w:t>
            </w:r>
          </w:p>
          <w:p w14:paraId="77223FD6">
            <w:pPr>
              <w:widowControl/>
              <w:spacing w:line="360" w:lineRule="exact"/>
              <w:ind w:firstLine="420"/>
              <w:jc w:val="left"/>
              <w:rPr>
                <w:rFonts w:ascii="宋体" w:hAnsi="宋体" w:eastAsia="宋体"/>
                <w:highlight w:val="none"/>
              </w:rPr>
            </w:pPr>
            <w:r>
              <w:rPr>
                <w:rFonts w:hint="eastAsia" w:ascii="宋体" w:hAnsi="宋体" w:eastAsia="宋体"/>
                <w:highlight w:val="none"/>
              </w:rPr>
              <w:t>注：需提供项目团队人员名单及对应职称证书及近六个月内任意一月在本投标单位购买的有效社保证明，否则不得分。</w:t>
            </w:r>
          </w:p>
        </w:tc>
      </w:tr>
      <w:tr w14:paraId="52E4B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16" w:hRule="atLeast"/>
        </w:trPr>
        <w:tc>
          <w:tcPr>
            <w:tcW w:w="907" w:type="dxa"/>
            <w:gridSpan w:val="2"/>
            <w:vMerge w:val="continue"/>
            <w:tcBorders>
              <w:right w:val="single" w:color="auto" w:sz="4" w:space="0"/>
            </w:tcBorders>
            <w:noWrap/>
            <w:vAlign w:val="center"/>
          </w:tcPr>
          <w:p w14:paraId="5BF4B654">
            <w:pPr>
              <w:widowControl/>
              <w:ind w:firstLine="420"/>
              <w:jc w:val="left"/>
              <w:rPr>
                <w:rFonts w:ascii="宋体" w:hAnsi="宋体" w:eastAsia="宋体"/>
                <w:highlight w:val="none"/>
              </w:rPr>
            </w:pPr>
          </w:p>
        </w:tc>
        <w:tc>
          <w:tcPr>
            <w:tcW w:w="1304" w:type="dxa"/>
            <w:vMerge w:val="continue"/>
            <w:tcBorders>
              <w:right w:val="single" w:color="auto" w:sz="4" w:space="0"/>
            </w:tcBorders>
            <w:vAlign w:val="center"/>
          </w:tcPr>
          <w:p w14:paraId="04CDA46D">
            <w:pPr>
              <w:widowControl/>
              <w:ind w:firstLine="420"/>
              <w:jc w:val="left"/>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05582322">
            <w:pPr>
              <w:widowControl/>
              <w:spacing w:line="360" w:lineRule="exact"/>
              <w:ind w:firstLine="420"/>
              <w:jc w:val="left"/>
              <w:rPr>
                <w:rFonts w:ascii="宋体" w:hAnsi="宋体" w:eastAsia="宋体"/>
                <w:highlight w:val="none"/>
              </w:rPr>
            </w:pPr>
            <w:r>
              <w:rPr>
                <w:rFonts w:hint="eastAsia" w:ascii="宋体" w:hAnsi="宋体" w:eastAsia="宋体"/>
                <w:highlight w:val="none"/>
              </w:rPr>
              <w:t>服务响应承诺（5分）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72984ED9">
            <w:pPr>
              <w:numPr>
                <w:ilvl w:val="0"/>
                <w:numId w:val="1"/>
              </w:numPr>
              <w:spacing w:line="360" w:lineRule="exact"/>
              <w:ind w:firstLine="420"/>
              <w:rPr>
                <w:rFonts w:ascii="宋体" w:hAnsi="宋体" w:eastAsia="宋体"/>
                <w:highlight w:val="none"/>
              </w:rPr>
            </w:pPr>
            <w:r>
              <w:rPr>
                <w:rFonts w:hint="eastAsia" w:ascii="宋体" w:hAnsi="宋体" w:eastAsia="宋体"/>
                <w:highlight w:val="none"/>
              </w:rPr>
              <w:t>收到</w:t>
            </w:r>
            <w:bookmarkStart w:id="320" w:name="OLE_LINK3"/>
            <w:bookmarkStart w:id="321" w:name="OLE_LINK4"/>
            <w:r>
              <w:rPr>
                <w:rFonts w:hint="eastAsia" w:ascii="宋体" w:hAnsi="宋体" w:eastAsia="宋体"/>
                <w:highlight w:val="none"/>
              </w:rPr>
              <w:t>招标人</w:t>
            </w:r>
            <w:bookmarkEnd w:id="320"/>
            <w:bookmarkEnd w:id="321"/>
            <w:r>
              <w:rPr>
                <w:rFonts w:hint="eastAsia" w:ascii="宋体" w:hAnsi="宋体" w:eastAsia="宋体"/>
                <w:highlight w:val="none"/>
              </w:rPr>
              <w:t>通知（电话或书面）后1小时内（含1小时）响应的，得5分；</w:t>
            </w:r>
          </w:p>
          <w:p w14:paraId="6DF4BBFF">
            <w:pPr>
              <w:numPr>
                <w:ilvl w:val="0"/>
                <w:numId w:val="1"/>
              </w:numPr>
              <w:spacing w:line="360" w:lineRule="exact"/>
              <w:ind w:firstLine="420"/>
              <w:rPr>
                <w:rFonts w:ascii="宋体" w:hAnsi="宋体" w:eastAsia="宋体"/>
                <w:highlight w:val="none"/>
              </w:rPr>
            </w:pPr>
            <w:r>
              <w:rPr>
                <w:rFonts w:hint="eastAsia" w:ascii="宋体" w:hAnsi="宋体" w:eastAsia="宋体"/>
                <w:highlight w:val="none"/>
              </w:rPr>
              <w:t>收到招标人通知（电话或书面）后</w:t>
            </w:r>
            <w:r>
              <w:rPr>
                <w:rFonts w:ascii="宋体" w:hAnsi="宋体" w:eastAsia="宋体"/>
                <w:highlight w:val="none"/>
              </w:rPr>
              <w:t>2</w:t>
            </w:r>
            <w:r>
              <w:rPr>
                <w:rFonts w:hint="eastAsia" w:ascii="宋体" w:hAnsi="宋体" w:eastAsia="宋体"/>
                <w:highlight w:val="none"/>
              </w:rPr>
              <w:t>小时内（含</w:t>
            </w:r>
            <w:r>
              <w:rPr>
                <w:rFonts w:ascii="宋体" w:hAnsi="宋体" w:eastAsia="宋体"/>
                <w:highlight w:val="none"/>
              </w:rPr>
              <w:t>2</w:t>
            </w:r>
            <w:r>
              <w:rPr>
                <w:rFonts w:hint="eastAsia" w:ascii="宋体" w:hAnsi="宋体" w:eastAsia="宋体"/>
                <w:highlight w:val="none"/>
              </w:rPr>
              <w:t>小时）响应的，得</w:t>
            </w:r>
            <w:r>
              <w:rPr>
                <w:rFonts w:ascii="宋体" w:hAnsi="宋体" w:eastAsia="宋体"/>
                <w:highlight w:val="none"/>
              </w:rPr>
              <w:t>3</w:t>
            </w:r>
            <w:r>
              <w:rPr>
                <w:rFonts w:hint="eastAsia" w:ascii="宋体" w:hAnsi="宋体" w:eastAsia="宋体"/>
                <w:highlight w:val="none"/>
              </w:rPr>
              <w:t>分；</w:t>
            </w:r>
            <w:r>
              <w:rPr>
                <w:rFonts w:ascii="宋体" w:hAnsi="宋体" w:eastAsia="宋体"/>
                <w:highlight w:val="none"/>
              </w:rPr>
              <w:t xml:space="preserve"> </w:t>
            </w:r>
          </w:p>
          <w:p w14:paraId="08C74F74">
            <w:pPr>
              <w:numPr>
                <w:ilvl w:val="0"/>
                <w:numId w:val="1"/>
              </w:numPr>
              <w:spacing w:line="360" w:lineRule="exact"/>
              <w:ind w:firstLine="420"/>
              <w:rPr>
                <w:rFonts w:ascii="宋体" w:hAnsi="宋体" w:eastAsia="宋体"/>
                <w:highlight w:val="none"/>
              </w:rPr>
            </w:pPr>
            <w:r>
              <w:rPr>
                <w:rFonts w:hint="eastAsia" w:ascii="宋体" w:hAnsi="宋体" w:eastAsia="宋体"/>
                <w:highlight w:val="none"/>
              </w:rPr>
              <w:t>收到招标人通知（电话或书面）后</w:t>
            </w:r>
            <w:r>
              <w:rPr>
                <w:rFonts w:ascii="宋体" w:hAnsi="宋体" w:eastAsia="宋体"/>
                <w:highlight w:val="none"/>
              </w:rPr>
              <w:t>3</w:t>
            </w:r>
            <w:r>
              <w:rPr>
                <w:rFonts w:hint="eastAsia" w:ascii="宋体" w:hAnsi="宋体" w:eastAsia="宋体"/>
                <w:highlight w:val="none"/>
              </w:rPr>
              <w:t>小时内（含</w:t>
            </w:r>
            <w:r>
              <w:rPr>
                <w:rFonts w:ascii="宋体" w:hAnsi="宋体" w:eastAsia="宋体"/>
                <w:highlight w:val="none"/>
              </w:rPr>
              <w:t>3</w:t>
            </w:r>
            <w:r>
              <w:rPr>
                <w:rFonts w:hint="eastAsia" w:ascii="宋体" w:hAnsi="宋体" w:eastAsia="宋体"/>
                <w:highlight w:val="none"/>
              </w:rPr>
              <w:t>小时）响应的，得</w:t>
            </w:r>
            <w:r>
              <w:rPr>
                <w:rFonts w:ascii="宋体" w:hAnsi="宋体" w:eastAsia="宋体"/>
                <w:highlight w:val="none"/>
              </w:rPr>
              <w:t>1</w:t>
            </w:r>
            <w:r>
              <w:rPr>
                <w:rFonts w:hint="eastAsia" w:ascii="宋体" w:hAnsi="宋体" w:eastAsia="宋体"/>
                <w:highlight w:val="none"/>
              </w:rPr>
              <w:t>分；</w:t>
            </w:r>
            <w:r>
              <w:rPr>
                <w:rFonts w:ascii="宋体" w:hAnsi="宋体" w:eastAsia="宋体"/>
                <w:highlight w:val="none"/>
              </w:rPr>
              <w:t xml:space="preserve"> </w:t>
            </w:r>
          </w:p>
          <w:p w14:paraId="6C87E1C3">
            <w:pPr>
              <w:numPr>
                <w:ilvl w:val="0"/>
                <w:numId w:val="1"/>
              </w:numPr>
              <w:spacing w:line="360" w:lineRule="exact"/>
              <w:ind w:firstLine="420"/>
              <w:rPr>
                <w:rFonts w:ascii="宋体" w:hAnsi="宋体" w:eastAsia="宋体"/>
                <w:highlight w:val="none"/>
              </w:rPr>
            </w:pPr>
            <w:r>
              <w:rPr>
                <w:rFonts w:hint="eastAsia" w:ascii="宋体" w:hAnsi="宋体" w:eastAsia="宋体"/>
                <w:highlight w:val="none"/>
              </w:rPr>
              <w:t>其他，得</w:t>
            </w:r>
            <w:r>
              <w:rPr>
                <w:rFonts w:ascii="宋体" w:hAnsi="宋体" w:eastAsia="宋体"/>
                <w:highlight w:val="none"/>
              </w:rPr>
              <w:t>0</w:t>
            </w:r>
            <w:r>
              <w:rPr>
                <w:rFonts w:hint="eastAsia" w:ascii="宋体" w:hAnsi="宋体" w:eastAsia="宋体"/>
                <w:highlight w:val="none"/>
              </w:rPr>
              <w:t>分。</w:t>
            </w:r>
            <w:r>
              <w:rPr>
                <w:rFonts w:ascii="宋体" w:hAnsi="宋体" w:eastAsia="宋体"/>
                <w:highlight w:val="none"/>
              </w:rPr>
              <w:t xml:space="preserve"> </w:t>
            </w:r>
          </w:p>
          <w:p w14:paraId="6340C8F1">
            <w:pPr>
              <w:widowControl/>
              <w:spacing w:line="360" w:lineRule="exact"/>
              <w:ind w:firstLine="420"/>
              <w:jc w:val="left"/>
              <w:rPr>
                <w:rFonts w:ascii="宋体" w:hAnsi="宋体" w:eastAsia="宋体"/>
                <w:highlight w:val="none"/>
              </w:rPr>
            </w:pPr>
            <w:r>
              <w:rPr>
                <w:rFonts w:hint="eastAsia" w:ascii="宋体" w:hAnsi="宋体" w:eastAsia="宋体"/>
                <w:highlight w:val="none"/>
              </w:rPr>
              <w:t>注：需提供承诺函原件（格式自拟）并加盖投标人公章，否则不得分。</w:t>
            </w:r>
          </w:p>
        </w:tc>
      </w:tr>
      <w:tr w14:paraId="68556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511" w:hRule="atLeast"/>
        </w:trPr>
        <w:tc>
          <w:tcPr>
            <w:tcW w:w="907" w:type="dxa"/>
            <w:gridSpan w:val="2"/>
            <w:vMerge w:val="restart"/>
            <w:tcBorders>
              <w:top w:val="single" w:color="auto" w:sz="4" w:space="0"/>
              <w:right w:val="single" w:color="auto" w:sz="4" w:space="0"/>
            </w:tcBorders>
            <w:noWrap/>
            <w:vAlign w:val="center"/>
          </w:tcPr>
          <w:p w14:paraId="18AACB6C">
            <w:pPr>
              <w:widowControl/>
              <w:ind w:firstLine="420"/>
              <w:jc w:val="left"/>
              <w:rPr>
                <w:rFonts w:ascii="宋体" w:hAnsi="宋体" w:eastAsia="宋体"/>
                <w:highlight w:val="none"/>
              </w:rPr>
            </w:pPr>
            <w:r>
              <w:rPr>
                <w:rFonts w:ascii="宋体" w:hAnsi="宋体" w:eastAsia="宋体"/>
                <w:highlight w:val="none"/>
              </w:rPr>
              <w:t>2.2.</w:t>
            </w:r>
            <w:r>
              <w:rPr>
                <w:rFonts w:hint="eastAsia" w:ascii="宋体" w:hAnsi="宋体" w:eastAsia="宋体"/>
                <w:highlight w:val="none"/>
              </w:rPr>
              <w:t>3</w:t>
            </w:r>
          </w:p>
          <w:p w14:paraId="215691B0">
            <w:pPr>
              <w:widowControl/>
              <w:ind w:firstLine="420"/>
              <w:jc w:val="left"/>
              <w:rPr>
                <w:rFonts w:ascii="宋体" w:hAnsi="宋体" w:eastAsia="宋体"/>
                <w:highlight w:val="none"/>
              </w:rPr>
            </w:pPr>
            <w:r>
              <w:rPr>
                <w:rFonts w:ascii="宋体" w:hAnsi="宋体" w:eastAsia="宋体"/>
                <w:highlight w:val="none"/>
              </w:rPr>
              <w:t>（2）</w:t>
            </w:r>
          </w:p>
        </w:tc>
        <w:tc>
          <w:tcPr>
            <w:tcW w:w="1304" w:type="dxa"/>
            <w:vMerge w:val="restart"/>
            <w:tcBorders>
              <w:top w:val="single" w:color="auto" w:sz="4" w:space="0"/>
              <w:right w:val="single" w:color="auto" w:sz="4" w:space="0"/>
            </w:tcBorders>
            <w:vAlign w:val="center"/>
          </w:tcPr>
          <w:p w14:paraId="20B08A58">
            <w:pPr>
              <w:widowControl/>
              <w:ind w:firstLine="420"/>
              <w:jc w:val="left"/>
              <w:rPr>
                <w:rFonts w:ascii="宋体" w:hAnsi="宋体" w:eastAsia="宋体"/>
                <w:highlight w:val="none"/>
              </w:rPr>
            </w:pPr>
            <w:r>
              <w:rPr>
                <w:rFonts w:hint="eastAsia" w:ascii="宋体" w:hAnsi="宋体" w:eastAsia="宋体"/>
                <w:highlight w:val="none"/>
              </w:rPr>
              <w:t>技术服务方案（50</w:t>
            </w:r>
            <w:r>
              <w:rPr>
                <w:rFonts w:ascii="宋体" w:hAnsi="宋体" w:eastAsia="宋体"/>
                <w:highlight w:val="none"/>
              </w:rPr>
              <w:t>分）</w:t>
            </w:r>
          </w:p>
        </w:tc>
        <w:tc>
          <w:tcPr>
            <w:tcW w:w="1568" w:type="dxa"/>
            <w:tcBorders>
              <w:top w:val="single" w:color="auto" w:sz="4" w:space="0"/>
              <w:left w:val="single" w:color="auto" w:sz="4" w:space="0"/>
              <w:bottom w:val="single" w:color="auto" w:sz="4" w:space="0"/>
              <w:right w:val="single" w:color="auto" w:sz="4" w:space="0"/>
            </w:tcBorders>
            <w:noWrap/>
            <w:vAlign w:val="center"/>
          </w:tcPr>
          <w:p w14:paraId="15C6773C">
            <w:pPr>
              <w:widowControl/>
              <w:spacing w:line="300" w:lineRule="exact"/>
              <w:ind w:firstLine="420"/>
              <w:jc w:val="left"/>
              <w:rPr>
                <w:rFonts w:ascii="宋体" w:hAnsi="宋体" w:eastAsia="宋体"/>
                <w:highlight w:val="none"/>
              </w:rPr>
            </w:pPr>
            <w:r>
              <w:rPr>
                <w:rFonts w:hint="eastAsia" w:ascii="宋体" w:hAnsi="宋体" w:eastAsia="宋体"/>
                <w:highlight w:val="none"/>
              </w:rPr>
              <w:t>对项目基础情况的理解与掌握</w:t>
            </w:r>
          </w:p>
          <w:p w14:paraId="7784335D">
            <w:pPr>
              <w:widowControl/>
              <w:spacing w:line="300" w:lineRule="exact"/>
              <w:ind w:firstLine="420"/>
              <w:jc w:val="left"/>
              <w:rPr>
                <w:rFonts w:ascii="宋体" w:hAnsi="宋体" w:eastAsia="宋体"/>
                <w:highlight w:val="none"/>
              </w:rPr>
            </w:pPr>
            <w:r>
              <w:rPr>
                <w:rFonts w:hint="eastAsia" w:ascii="宋体" w:hAnsi="宋体" w:eastAsia="宋体"/>
                <w:highlight w:val="none"/>
              </w:rPr>
              <w:t>（10</w:t>
            </w:r>
            <w:r>
              <w:rPr>
                <w:rFonts w:ascii="宋体" w:hAnsi="宋体" w:eastAsia="宋体"/>
                <w:highlight w:val="none"/>
              </w:rPr>
              <w:t>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4B5CAA76">
            <w:pPr>
              <w:widowControl/>
              <w:spacing w:line="300" w:lineRule="exact"/>
              <w:ind w:firstLine="420"/>
              <w:jc w:val="left"/>
              <w:rPr>
                <w:rFonts w:ascii="宋体" w:hAnsi="宋体" w:eastAsia="宋体"/>
                <w:highlight w:val="none"/>
              </w:rPr>
            </w:pPr>
            <w:r>
              <w:rPr>
                <w:rFonts w:hint="eastAsia" w:ascii="宋体" w:hAnsi="宋体" w:eastAsia="宋体"/>
                <w:highlight w:val="none"/>
              </w:rPr>
              <w:t>1.投标人根据本项目情况提供对项目基础情况的理解与掌握，.包括但不限于以下内容：①项目背景；②基本情况；③上层次规划情况；④现状建设等内容，能提供得2分，不提供不得分，且不能参与第2点的评审。</w:t>
            </w:r>
          </w:p>
          <w:p w14:paraId="69AF9F12">
            <w:pPr>
              <w:widowControl/>
              <w:spacing w:line="300" w:lineRule="exact"/>
              <w:ind w:firstLine="420"/>
              <w:jc w:val="left"/>
              <w:rPr>
                <w:rFonts w:ascii="宋体" w:hAnsi="宋体" w:eastAsia="宋体"/>
                <w:highlight w:val="none"/>
              </w:rPr>
            </w:pPr>
            <w:r>
              <w:rPr>
                <w:rFonts w:hint="eastAsia" w:ascii="宋体" w:hAnsi="宋体" w:eastAsia="宋体"/>
                <w:highlight w:val="none"/>
              </w:rPr>
              <w:t>2.根据投标人提供的对项目基础情况的理解与掌握内容进行评审：</w:t>
            </w:r>
          </w:p>
          <w:p w14:paraId="56254EE4">
            <w:pPr>
              <w:widowControl/>
              <w:spacing w:line="300" w:lineRule="exact"/>
              <w:ind w:firstLine="420"/>
              <w:jc w:val="left"/>
              <w:rPr>
                <w:rFonts w:ascii="宋体" w:hAnsi="宋体" w:eastAsia="宋体"/>
                <w:highlight w:val="none"/>
              </w:rPr>
            </w:pPr>
            <w:r>
              <w:rPr>
                <w:rFonts w:hint="eastAsia" w:ascii="宋体" w:hAnsi="宋体" w:eastAsia="宋体"/>
                <w:highlight w:val="none"/>
              </w:rPr>
              <w:t>(1)①项目背景；②基本情况；③上层次规划情况；</w:t>
            </w:r>
            <w:bookmarkStart w:id="322" w:name="OLE_LINK105"/>
            <w:bookmarkStart w:id="323" w:name="OLE_LINK106"/>
            <w:r>
              <w:rPr>
                <w:rFonts w:hint="eastAsia" w:ascii="宋体" w:hAnsi="宋体" w:eastAsia="宋体"/>
                <w:highlight w:val="none"/>
              </w:rPr>
              <w:t>④</w:t>
            </w:r>
            <w:bookmarkEnd w:id="322"/>
            <w:bookmarkEnd w:id="323"/>
            <w:r>
              <w:rPr>
                <w:rFonts w:hint="eastAsia" w:ascii="宋体" w:hAnsi="宋体" w:eastAsia="宋体"/>
                <w:highlight w:val="none"/>
              </w:rPr>
              <w:t>现状建设等内容理解完全清晰，完全满足或优于采购需求，得8分；</w:t>
            </w:r>
          </w:p>
          <w:p w14:paraId="68EF2CA5">
            <w:pPr>
              <w:widowControl/>
              <w:spacing w:line="300" w:lineRule="exact"/>
              <w:ind w:firstLine="420"/>
              <w:jc w:val="left"/>
              <w:rPr>
                <w:rFonts w:ascii="宋体" w:hAnsi="宋体" w:eastAsia="宋体"/>
                <w:highlight w:val="none"/>
              </w:rPr>
            </w:pPr>
            <w:r>
              <w:rPr>
                <w:rFonts w:hint="eastAsia" w:ascii="宋体" w:hAnsi="宋体" w:eastAsia="宋体"/>
                <w:highlight w:val="none"/>
              </w:rPr>
              <w:t>(2)①项目背景；②基本情况；③上层次规划情况；④现状建设等内容，任意一项内容理解不够清晰但基本满足采购需求，得4分；</w:t>
            </w:r>
          </w:p>
          <w:p w14:paraId="729A893A">
            <w:pPr>
              <w:widowControl/>
              <w:spacing w:line="300" w:lineRule="exact"/>
              <w:ind w:firstLine="420"/>
              <w:jc w:val="left"/>
              <w:rPr>
                <w:rFonts w:ascii="宋体" w:hAnsi="宋体" w:eastAsia="宋体"/>
                <w:highlight w:val="none"/>
              </w:rPr>
            </w:pPr>
            <w:r>
              <w:rPr>
                <w:rFonts w:hint="eastAsia" w:ascii="宋体" w:hAnsi="宋体" w:eastAsia="宋体"/>
                <w:highlight w:val="none"/>
              </w:rPr>
              <w:t>(3)①项目背景；②基本情况；③上层次规划情况；④现状建设等内容，任意两项（或以上）内容理解不够清晰，不完全满足采购需求，得2分；</w:t>
            </w:r>
          </w:p>
          <w:p w14:paraId="5E34F48B">
            <w:pPr>
              <w:widowControl/>
              <w:spacing w:line="300" w:lineRule="exact"/>
              <w:ind w:firstLine="420"/>
              <w:jc w:val="left"/>
              <w:rPr>
                <w:rFonts w:ascii="宋体" w:hAnsi="宋体" w:eastAsia="宋体"/>
                <w:sz w:val="24"/>
                <w:szCs w:val="24"/>
                <w:highlight w:val="none"/>
              </w:rPr>
            </w:pPr>
            <w:r>
              <w:rPr>
                <w:rFonts w:hint="eastAsia" w:ascii="宋体" w:hAnsi="宋体" w:eastAsia="宋体"/>
                <w:highlight w:val="none"/>
              </w:rPr>
              <w:t>(4)其它或无效响应，得0分。</w:t>
            </w:r>
          </w:p>
        </w:tc>
      </w:tr>
      <w:tr w14:paraId="0AA01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841" w:hRule="atLeast"/>
        </w:trPr>
        <w:tc>
          <w:tcPr>
            <w:tcW w:w="907" w:type="dxa"/>
            <w:gridSpan w:val="2"/>
            <w:vMerge w:val="continue"/>
            <w:tcBorders>
              <w:top w:val="single" w:color="auto" w:sz="4" w:space="0"/>
              <w:right w:val="single" w:color="auto" w:sz="4" w:space="0"/>
            </w:tcBorders>
            <w:noWrap/>
            <w:vAlign w:val="center"/>
          </w:tcPr>
          <w:p w14:paraId="78E7AE7F">
            <w:pPr>
              <w:widowControl/>
              <w:ind w:firstLine="420"/>
              <w:jc w:val="left"/>
              <w:rPr>
                <w:rFonts w:ascii="宋体" w:hAnsi="宋体" w:eastAsia="宋体"/>
                <w:highlight w:val="none"/>
              </w:rPr>
            </w:pPr>
          </w:p>
        </w:tc>
        <w:tc>
          <w:tcPr>
            <w:tcW w:w="1304" w:type="dxa"/>
            <w:vMerge w:val="continue"/>
            <w:tcBorders>
              <w:top w:val="single" w:color="auto" w:sz="4" w:space="0"/>
              <w:right w:val="single" w:color="auto" w:sz="4" w:space="0"/>
            </w:tcBorders>
            <w:vAlign w:val="center"/>
          </w:tcPr>
          <w:p w14:paraId="2657C962">
            <w:pPr>
              <w:widowControl/>
              <w:spacing w:line="360" w:lineRule="exact"/>
              <w:ind w:firstLine="420"/>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26B7B09B">
            <w:pPr>
              <w:widowControl/>
              <w:spacing w:line="360" w:lineRule="exact"/>
              <w:rPr>
                <w:rFonts w:ascii="宋体" w:hAnsi="宋体" w:eastAsia="宋体"/>
                <w:highlight w:val="none"/>
              </w:rPr>
            </w:pPr>
            <w:r>
              <w:rPr>
                <w:rFonts w:hint="eastAsia" w:ascii="宋体" w:hAnsi="宋体" w:eastAsia="宋体"/>
                <w:highlight w:val="none"/>
              </w:rPr>
              <w:t>项目技术方案情况</w:t>
            </w:r>
          </w:p>
          <w:p w14:paraId="394F647A">
            <w:pPr>
              <w:widowControl/>
              <w:spacing w:line="360" w:lineRule="exact"/>
              <w:ind w:firstLine="420"/>
              <w:rPr>
                <w:rFonts w:ascii="宋体" w:hAnsi="宋体" w:eastAsia="宋体"/>
                <w:highlight w:val="none"/>
              </w:rPr>
            </w:pPr>
            <w:r>
              <w:rPr>
                <w:rFonts w:hint="eastAsia" w:ascii="宋体" w:hAnsi="宋体" w:eastAsia="宋体"/>
                <w:highlight w:val="none"/>
              </w:rPr>
              <w:t>（15分）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094FBA09">
            <w:pPr>
              <w:widowControl/>
              <w:spacing w:line="360" w:lineRule="exact"/>
              <w:ind w:firstLine="420"/>
              <w:rPr>
                <w:rFonts w:ascii="宋体" w:hAnsi="宋体" w:eastAsia="宋体"/>
                <w:highlight w:val="none"/>
              </w:rPr>
            </w:pPr>
            <w:r>
              <w:rPr>
                <w:rFonts w:hint="eastAsia" w:ascii="宋体" w:hAnsi="宋体" w:eastAsia="宋体"/>
                <w:highlight w:val="none"/>
              </w:rPr>
              <w:t>1.投标人根据本项目情况提供项目技术方案情况。能提供相应内容的，得3分，不提供不得分，且不能参与第2点的评审。</w:t>
            </w:r>
          </w:p>
          <w:p w14:paraId="305BEB0C">
            <w:pPr>
              <w:widowControl/>
              <w:spacing w:line="360" w:lineRule="exact"/>
              <w:ind w:firstLine="420"/>
              <w:rPr>
                <w:rFonts w:ascii="宋体" w:hAnsi="宋体" w:eastAsia="宋体"/>
                <w:highlight w:val="none"/>
              </w:rPr>
            </w:pPr>
            <w:r>
              <w:rPr>
                <w:rFonts w:hint="eastAsia" w:ascii="宋体" w:hAnsi="宋体" w:eastAsia="宋体"/>
                <w:highlight w:val="none"/>
              </w:rPr>
              <w:t>2.根据投标人提供的初步技术方案情况进行评审：</w:t>
            </w:r>
          </w:p>
          <w:p w14:paraId="03DEC320">
            <w:pPr>
              <w:widowControl/>
              <w:spacing w:line="360" w:lineRule="exact"/>
              <w:ind w:firstLine="420"/>
              <w:rPr>
                <w:rFonts w:ascii="宋体" w:hAnsi="宋体" w:eastAsia="宋体"/>
                <w:highlight w:val="none"/>
              </w:rPr>
            </w:pPr>
            <w:r>
              <w:rPr>
                <w:rFonts w:hint="eastAsia" w:ascii="宋体" w:hAnsi="宋体" w:eastAsia="宋体"/>
                <w:highlight w:val="none"/>
              </w:rPr>
              <w:t>(1)方案详细、到位，分析准确，针对性和可操作性强，方案内容具体、合理，完全满足或优于采购需求，得12分；</w:t>
            </w:r>
          </w:p>
          <w:p w14:paraId="5E335602">
            <w:pPr>
              <w:widowControl/>
              <w:spacing w:line="360" w:lineRule="exact"/>
              <w:ind w:firstLine="420"/>
              <w:rPr>
                <w:rFonts w:ascii="宋体" w:hAnsi="宋体" w:eastAsia="宋体"/>
                <w:highlight w:val="none"/>
              </w:rPr>
            </w:pPr>
            <w:r>
              <w:rPr>
                <w:rFonts w:hint="eastAsia" w:ascii="宋体" w:hAnsi="宋体" w:eastAsia="宋体"/>
                <w:highlight w:val="none"/>
              </w:rPr>
              <w:t>(2)方案较为详细、到位，分析较为准确，针对性和可操作性较强，方案内容比较具体、合理，基本满足采购需求，得6分；</w:t>
            </w:r>
          </w:p>
          <w:p w14:paraId="2CAB7F1D">
            <w:pPr>
              <w:widowControl/>
              <w:spacing w:line="360" w:lineRule="exact"/>
              <w:ind w:firstLine="420"/>
              <w:rPr>
                <w:rFonts w:ascii="宋体" w:hAnsi="宋体" w:eastAsia="宋体"/>
                <w:highlight w:val="none"/>
              </w:rPr>
            </w:pPr>
            <w:r>
              <w:rPr>
                <w:rFonts w:hint="eastAsia" w:ascii="宋体" w:hAnsi="宋体" w:eastAsia="宋体"/>
                <w:highlight w:val="none"/>
              </w:rPr>
              <w:t>(3)改造方案不详细、到位，分析不准确，针对性和可操作性低，方案内容不具体、合理，不完全满足采购需求，得2分；</w:t>
            </w:r>
          </w:p>
          <w:p w14:paraId="03DED733">
            <w:pPr>
              <w:widowControl/>
              <w:spacing w:line="360" w:lineRule="exact"/>
              <w:ind w:firstLine="420"/>
              <w:rPr>
                <w:rFonts w:ascii="宋体" w:hAnsi="宋体" w:eastAsia="宋体"/>
                <w:highlight w:val="none"/>
              </w:rPr>
            </w:pPr>
            <w:r>
              <w:rPr>
                <w:rFonts w:hint="eastAsia" w:ascii="宋体" w:hAnsi="宋体" w:eastAsia="宋体"/>
                <w:highlight w:val="none"/>
              </w:rPr>
              <w:t>(4)其它或无效响应，得0分。</w:t>
            </w:r>
          </w:p>
        </w:tc>
      </w:tr>
      <w:tr w14:paraId="6518D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vMerge w:val="continue"/>
            <w:tcBorders>
              <w:top w:val="single" w:color="auto" w:sz="4" w:space="0"/>
              <w:right w:val="single" w:color="auto" w:sz="4" w:space="0"/>
            </w:tcBorders>
            <w:noWrap/>
            <w:vAlign w:val="center"/>
          </w:tcPr>
          <w:p w14:paraId="5FA58FEA">
            <w:pPr>
              <w:widowControl/>
              <w:ind w:firstLine="420"/>
              <w:jc w:val="left"/>
              <w:rPr>
                <w:rFonts w:ascii="宋体" w:hAnsi="宋体" w:eastAsia="宋体"/>
                <w:highlight w:val="none"/>
              </w:rPr>
            </w:pPr>
          </w:p>
        </w:tc>
        <w:tc>
          <w:tcPr>
            <w:tcW w:w="1304" w:type="dxa"/>
            <w:vMerge w:val="continue"/>
            <w:tcBorders>
              <w:top w:val="single" w:color="auto" w:sz="4" w:space="0"/>
              <w:right w:val="single" w:color="auto" w:sz="4" w:space="0"/>
            </w:tcBorders>
            <w:vAlign w:val="center"/>
          </w:tcPr>
          <w:p w14:paraId="6996A29C">
            <w:pPr>
              <w:widowControl/>
              <w:spacing w:line="360" w:lineRule="exact"/>
              <w:ind w:firstLine="420"/>
              <w:rPr>
                <w:rFonts w:ascii="宋体" w:hAnsi="宋体" w:eastAsia="宋体"/>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58484B1E">
            <w:pPr>
              <w:widowControl/>
              <w:spacing w:line="360" w:lineRule="exact"/>
              <w:ind w:firstLine="420"/>
              <w:rPr>
                <w:rFonts w:ascii="宋体" w:hAnsi="宋体" w:eastAsia="宋体"/>
                <w:highlight w:val="none"/>
              </w:rPr>
            </w:pPr>
            <w:r>
              <w:rPr>
                <w:rFonts w:hint="eastAsia" w:ascii="宋体" w:hAnsi="宋体" w:eastAsia="宋体"/>
                <w:highlight w:val="none"/>
              </w:rPr>
              <w:t>时间进度安排</w:t>
            </w:r>
          </w:p>
          <w:p w14:paraId="1C44E70C">
            <w:pPr>
              <w:widowControl/>
              <w:spacing w:line="360" w:lineRule="exact"/>
              <w:ind w:firstLine="420"/>
              <w:rPr>
                <w:rFonts w:ascii="宋体" w:hAnsi="宋体" w:eastAsia="宋体"/>
                <w:highlight w:val="none"/>
              </w:rPr>
            </w:pPr>
            <w:r>
              <w:rPr>
                <w:rFonts w:hint="eastAsia" w:ascii="宋体" w:hAnsi="宋体" w:eastAsia="宋体"/>
                <w:highlight w:val="none"/>
              </w:rPr>
              <w:t>（10分）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3D6E95B6">
            <w:pPr>
              <w:widowControl/>
              <w:spacing w:line="360" w:lineRule="exact"/>
              <w:ind w:firstLine="420"/>
              <w:rPr>
                <w:rFonts w:ascii="宋体" w:hAnsi="宋体" w:eastAsia="宋体"/>
                <w:highlight w:val="none"/>
              </w:rPr>
            </w:pPr>
            <w:r>
              <w:rPr>
                <w:rFonts w:hint="eastAsia" w:ascii="宋体" w:hAnsi="宋体" w:eastAsia="宋体"/>
                <w:highlight w:val="none"/>
              </w:rPr>
              <w:t>1.投标人根据本项目情况提供时间进度安排、项目承诺及合理化建议，能提供得2分，不提供不得分，且不能参与第2点的评审。</w:t>
            </w:r>
          </w:p>
          <w:p w14:paraId="03C35E79">
            <w:pPr>
              <w:widowControl/>
              <w:spacing w:line="360" w:lineRule="exact"/>
              <w:ind w:firstLine="420"/>
              <w:rPr>
                <w:rFonts w:ascii="宋体" w:hAnsi="宋体" w:eastAsia="宋体"/>
                <w:highlight w:val="none"/>
              </w:rPr>
            </w:pPr>
            <w:r>
              <w:rPr>
                <w:rFonts w:hint="eastAsia" w:ascii="宋体" w:hAnsi="宋体" w:eastAsia="宋体"/>
                <w:highlight w:val="none"/>
              </w:rPr>
              <w:t>2.根据投标人提供的时间进度安排、项目承诺及合理化建议内容方案进行评审：</w:t>
            </w:r>
          </w:p>
          <w:p w14:paraId="2BFDD468">
            <w:pPr>
              <w:widowControl/>
              <w:spacing w:line="360" w:lineRule="exact"/>
              <w:ind w:firstLine="420"/>
              <w:rPr>
                <w:rFonts w:ascii="宋体" w:hAnsi="宋体" w:eastAsia="宋体"/>
                <w:highlight w:val="none"/>
              </w:rPr>
            </w:pPr>
            <w:r>
              <w:rPr>
                <w:rFonts w:hint="eastAsia" w:ascii="宋体" w:hAnsi="宋体" w:eastAsia="宋体"/>
                <w:highlight w:val="none"/>
              </w:rPr>
              <w:t>(1)时间进度安排、项目承诺及合理化建议详细、完整，时间进度安排科学合理且可行性高，能按时交付成果，项目承诺及建议合理，完全满足或优于采购需求，得8分；</w:t>
            </w:r>
          </w:p>
          <w:p w14:paraId="39D7D929">
            <w:pPr>
              <w:widowControl/>
              <w:spacing w:line="360" w:lineRule="exact"/>
              <w:ind w:firstLine="420"/>
              <w:rPr>
                <w:rFonts w:ascii="宋体" w:hAnsi="宋体" w:eastAsia="宋体"/>
                <w:highlight w:val="none"/>
              </w:rPr>
            </w:pPr>
            <w:r>
              <w:rPr>
                <w:rFonts w:hint="eastAsia" w:ascii="宋体" w:hAnsi="宋体" w:eastAsia="宋体"/>
                <w:highlight w:val="none"/>
              </w:rPr>
              <w:t>(2)时间进度安排、项目承诺及合理化建议，任意一项内容不够清晰但基本满足采购需求，得4分；</w:t>
            </w:r>
          </w:p>
          <w:p w14:paraId="003F951A">
            <w:pPr>
              <w:widowControl/>
              <w:spacing w:line="360" w:lineRule="exact"/>
              <w:ind w:firstLine="420"/>
              <w:rPr>
                <w:rFonts w:ascii="宋体" w:hAnsi="宋体" w:eastAsia="宋体"/>
                <w:highlight w:val="none"/>
              </w:rPr>
            </w:pPr>
            <w:r>
              <w:rPr>
                <w:rFonts w:hint="eastAsia" w:ascii="宋体" w:hAnsi="宋体" w:eastAsia="宋体"/>
                <w:highlight w:val="none"/>
              </w:rPr>
              <w:t>(3)时间进度安排、项目承诺及合理化建议，任意两项（或以上）内容不够清晰，不完全满足采购需求，得2分；</w:t>
            </w:r>
          </w:p>
          <w:p w14:paraId="2A144B05">
            <w:pPr>
              <w:widowControl/>
              <w:spacing w:line="360" w:lineRule="exact"/>
              <w:ind w:firstLine="420"/>
              <w:rPr>
                <w:rFonts w:ascii="宋体" w:hAnsi="宋体" w:eastAsia="宋体"/>
                <w:highlight w:val="none"/>
              </w:rPr>
            </w:pPr>
            <w:r>
              <w:rPr>
                <w:rFonts w:hint="eastAsia" w:ascii="宋体" w:hAnsi="宋体" w:eastAsia="宋体"/>
                <w:highlight w:val="none"/>
              </w:rPr>
              <w:t>(4)其它或无效响应，得0分。</w:t>
            </w:r>
          </w:p>
        </w:tc>
      </w:tr>
      <w:tr w14:paraId="23CBD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58" w:hRule="atLeast"/>
        </w:trPr>
        <w:tc>
          <w:tcPr>
            <w:tcW w:w="907" w:type="dxa"/>
            <w:gridSpan w:val="2"/>
            <w:vMerge w:val="continue"/>
            <w:tcBorders>
              <w:right w:val="single" w:color="auto" w:sz="4" w:space="0"/>
            </w:tcBorders>
            <w:noWrap/>
            <w:vAlign w:val="center"/>
          </w:tcPr>
          <w:p w14:paraId="58284BDF">
            <w:pPr>
              <w:widowControl/>
              <w:ind w:firstLine="420"/>
              <w:jc w:val="left"/>
              <w:rPr>
                <w:rFonts w:ascii="宋体" w:hAnsi="宋体" w:eastAsia="宋体"/>
                <w:highlight w:val="none"/>
              </w:rPr>
            </w:pPr>
          </w:p>
        </w:tc>
        <w:tc>
          <w:tcPr>
            <w:tcW w:w="1304" w:type="dxa"/>
            <w:vMerge w:val="continue"/>
            <w:tcBorders>
              <w:right w:val="single" w:color="auto" w:sz="4" w:space="0"/>
            </w:tcBorders>
            <w:vAlign w:val="center"/>
          </w:tcPr>
          <w:p w14:paraId="26239784">
            <w:pPr>
              <w:widowControl/>
              <w:spacing w:line="360" w:lineRule="exact"/>
              <w:ind w:firstLine="420"/>
              <w:rPr>
                <w:rFonts w:ascii="宋体" w:hAnsi="宋体" w:eastAsia="宋体"/>
                <w:highlight w:val="none"/>
              </w:rPr>
            </w:pPr>
          </w:p>
        </w:tc>
        <w:tc>
          <w:tcPr>
            <w:tcW w:w="1568" w:type="dxa"/>
            <w:tcBorders>
              <w:top w:val="single" w:color="auto" w:sz="4" w:space="0"/>
              <w:left w:val="single" w:color="auto" w:sz="4" w:space="0"/>
              <w:right w:val="single" w:color="auto" w:sz="4" w:space="0"/>
            </w:tcBorders>
            <w:noWrap/>
            <w:vAlign w:val="center"/>
          </w:tcPr>
          <w:p w14:paraId="5ADD6AB4">
            <w:pPr>
              <w:widowControl/>
              <w:spacing w:line="360" w:lineRule="exact"/>
              <w:ind w:firstLine="420"/>
              <w:rPr>
                <w:rFonts w:ascii="宋体" w:hAnsi="宋体" w:eastAsia="宋体"/>
                <w:highlight w:val="none"/>
              </w:rPr>
            </w:pPr>
            <w:r>
              <w:rPr>
                <w:rFonts w:hint="eastAsia" w:ascii="宋体" w:hAnsi="宋体" w:eastAsia="宋体"/>
                <w:highlight w:val="none"/>
              </w:rPr>
              <w:t>质量保障措施</w:t>
            </w:r>
          </w:p>
          <w:p w14:paraId="69F33F06">
            <w:pPr>
              <w:widowControl/>
              <w:spacing w:line="360" w:lineRule="exact"/>
              <w:ind w:firstLine="420"/>
              <w:rPr>
                <w:rFonts w:ascii="宋体" w:hAnsi="宋体" w:eastAsia="宋体"/>
                <w:highlight w:val="none"/>
              </w:rPr>
            </w:pPr>
            <w:r>
              <w:rPr>
                <w:rFonts w:hint="eastAsia" w:ascii="宋体" w:hAnsi="宋体" w:eastAsia="宋体"/>
                <w:highlight w:val="none"/>
              </w:rPr>
              <w:t>（15分）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521F4909">
            <w:pPr>
              <w:widowControl/>
              <w:spacing w:line="360" w:lineRule="exact"/>
              <w:ind w:firstLine="420"/>
              <w:rPr>
                <w:rFonts w:ascii="宋体" w:hAnsi="宋体" w:eastAsia="宋体"/>
                <w:highlight w:val="none"/>
              </w:rPr>
            </w:pPr>
            <w:r>
              <w:rPr>
                <w:rFonts w:hint="eastAsia" w:ascii="宋体" w:hAnsi="宋体" w:eastAsia="宋体"/>
                <w:highlight w:val="none"/>
              </w:rPr>
              <w:t>1.投标人根据本项目情况提供质量保障措施。能提供相应内容的，得3分，不提供不得分，且不能参与第2点的评审。</w:t>
            </w:r>
          </w:p>
          <w:p w14:paraId="0B85C483">
            <w:pPr>
              <w:widowControl/>
              <w:spacing w:line="360" w:lineRule="exact"/>
              <w:ind w:firstLine="420"/>
              <w:rPr>
                <w:rFonts w:ascii="宋体" w:hAnsi="宋体" w:eastAsia="宋体"/>
                <w:highlight w:val="none"/>
              </w:rPr>
            </w:pPr>
            <w:r>
              <w:rPr>
                <w:rFonts w:hint="eastAsia" w:ascii="宋体" w:hAnsi="宋体" w:eastAsia="宋体"/>
                <w:highlight w:val="none"/>
              </w:rPr>
              <w:t>2.根据投标人提供的质量保障措施方案内容进行评审：</w:t>
            </w:r>
          </w:p>
          <w:p w14:paraId="78BD2CF1">
            <w:pPr>
              <w:widowControl/>
              <w:spacing w:line="360" w:lineRule="exact"/>
              <w:ind w:firstLine="420"/>
              <w:rPr>
                <w:rFonts w:ascii="宋体" w:hAnsi="宋体" w:eastAsia="宋体"/>
                <w:highlight w:val="none"/>
              </w:rPr>
            </w:pPr>
            <w:r>
              <w:rPr>
                <w:rFonts w:hint="eastAsia" w:ascii="宋体" w:hAnsi="宋体" w:eastAsia="宋体"/>
                <w:highlight w:val="none"/>
              </w:rPr>
              <w:t>(1)质量保障措施具体、合理、可行，完全满足反复修改项目成果报告、随时汇报以及短期内提交成果等特殊要求，得12分；</w:t>
            </w:r>
          </w:p>
          <w:p w14:paraId="601FBBAD">
            <w:pPr>
              <w:widowControl/>
              <w:spacing w:line="360" w:lineRule="exact"/>
              <w:ind w:firstLine="420"/>
              <w:rPr>
                <w:rFonts w:ascii="宋体" w:hAnsi="宋体" w:eastAsia="宋体"/>
                <w:highlight w:val="none"/>
              </w:rPr>
            </w:pPr>
            <w:r>
              <w:rPr>
                <w:rFonts w:hint="eastAsia" w:ascii="宋体" w:hAnsi="宋体" w:eastAsia="宋体"/>
                <w:highlight w:val="none"/>
              </w:rPr>
              <w:t>(2)质量保障措施合理，能够满足反复修改项目成果报告、随时汇报以及短期内提交成果等特殊要求，得6分；</w:t>
            </w:r>
          </w:p>
          <w:p w14:paraId="039F49C8">
            <w:pPr>
              <w:widowControl/>
              <w:spacing w:line="360" w:lineRule="exact"/>
              <w:ind w:firstLine="420"/>
              <w:rPr>
                <w:rFonts w:ascii="宋体" w:hAnsi="宋体" w:eastAsia="宋体"/>
                <w:highlight w:val="none"/>
              </w:rPr>
            </w:pPr>
            <w:r>
              <w:rPr>
                <w:rFonts w:hint="eastAsia" w:ascii="宋体" w:hAnsi="宋体" w:eastAsia="宋体"/>
                <w:highlight w:val="none"/>
              </w:rPr>
              <w:t>(3)质量保障措施基本能够满足反复修改项目成果报告、随时汇报以及短期内提交成果等特殊要求，但有偏差，得2分；</w:t>
            </w:r>
          </w:p>
          <w:p w14:paraId="4539C502">
            <w:pPr>
              <w:widowControl/>
              <w:spacing w:line="360" w:lineRule="exact"/>
              <w:ind w:firstLine="420"/>
              <w:rPr>
                <w:rFonts w:ascii="宋体" w:hAnsi="宋体" w:eastAsia="宋体"/>
                <w:highlight w:val="none"/>
              </w:rPr>
            </w:pPr>
            <w:r>
              <w:rPr>
                <w:rFonts w:hint="eastAsia" w:ascii="宋体" w:hAnsi="宋体" w:eastAsia="宋体"/>
                <w:highlight w:val="none"/>
              </w:rPr>
              <w:t>(4)其它或无效响应，得0分。</w:t>
            </w:r>
          </w:p>
        </w:tc>
      </w:tr>
      <w:tr w14:paraId="38917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tcBorders>
              <w:top w:val="single" w:color="auto" w:sz="4" w:space="0"/>
              <w:bottom w:val="single" w:color="auto" w:sz="4" w:space="0"/>
              <w:right w:val="single" w:color="auto" w:sz="4" w:space="0"/>
            </w:tcBorders>
            <w:noWrap/>
            <w:vAlign w:val="center"/>
          </w:tcPr>
          <w:p w14:paraId="2274E57F">
            <w:pPr>
              <w:widowControl/>
              <w:ind w:firstLine="420"/>
              <w:jc w:val="left"/>
              <w:rPr>
                <w:rFonts w:ascii="宋体" w:hAnsi="宋体" w:eastAsia="宋体"/>
                <w:highlight w:val="none"/>
              </w:rPr>
            </w:pPr>
            <w:r>
              <w:rPr>
                <w:rFonts w:ascii="宋体" w:hAnsi="宋体" w:eastAsia="宋体"/>
                <w:highlight w:val="none"/>
              </w:rPr>
              <w:t>2.2.</w:t>
            </w:r>
            <w:r>
              <w:rPr>
                <w:rFonts w:hint="eastAsia" w:ascii="宋体" w:hAnsi="宋体" w:eastAsia="宋体"/>
                <w:highlight w:val="none"/>
              </w:rPr>
              <w:t>3</w:t>
            </w:r>
            <w:r>
              <w:rPr>
                <w:rFonts w:ascii="宋体" w:hAnsi="宋体" w:eastAsia="宋体"/>
                <w:highlight w:val="none"/>
              </w:rPr>
              <w:t>（3</w:t>
            </w:r>
            <w:r>
              <w:rPr>
                <w:rFonts w:hint="eastAsia" w:ascii="宋体" w:hAnsi="宋体" w:eastAsia="宋体"/>
                <w:highlight w:val="none"/>
              </w:rPr>
              <w:t>）</w:t>
            </w:r>
          </w:p>
        </w:tc>
        <w:tc>
          <w:tcPr>
            <w:tcW w:w="1304" w:type="dxa"/>
            <w:tcBorders>
              <w:top w:val="single" w:color="auto" w:sz="4" w:space="0"/>
              <w:bottom w:val="single" w:color="auto" w:sz="4" w:space="0"/>
              <w:right w:val="single" w:color="auto" w:sz="4" w:space="0"/>
            </w:tcBorders>
            <w:vAlign w:val="center"/>
          </w:tcPr>
          <w:p w14:paraId="2C4A0D92">
            <w:pPr>
              <w:widowControl/>
              <w:spacing w:line="360" w:lineRule="exact"/>
              <w:ind w:firstLine="420"/>
              <w:rPr>
                <w:rFonts w:ascii="宋体" w:hAnsi="宋体" w:eastAsia="宋体"/>
                <w:highlight w:val="none"/>
              </w:rPr>
            </w:pPr>
            <w:r>
              <w:rPr>
                <w:rFonts w:hint="eastAsia" w:ascii="宋体" w:hAnsi="宋体" w:eastAsia="宋体"/>
                <w:highlight w:val="none"/>
              </w:rPr>
              <w:t>投标报价评分标准（10分）</w:t>
            </w:r>
          </w:p>
        </w:tc>
        <w:tc>
          <w:tcPr>
            <w:tcW w:w="7787" w:type="dxa"/>
            <w:gridSpan w:val="2"/>
            <w:tcBorders>
              <w:top w:val="single" w:color="auto" w:sz="4" w:space="0"/>
              <w:left w:val="single" w:color="auto" w:sz="4" w:space="0"/>
              <w:bottom w:val="single" w:color="auto" w:sz="4" w:space="0"/>
              <w:right w:val="single" w:color="auto" w:sz="4" w:space="0"/>
            </w:tcBorders>
            <w:noWrap/>
            <w:vAlign w:val="center"/>
          </w:tcPr>
          <w:p w14:paraId="79EEE9BE">
            <w:pPr>
              <w:widowControl/>
              <w:spacing w:line="360" w:lineRule="exact"/>
              <w:ind w:firstLine="420"/>
              <w:rPr>
                <w:rFonts w:ascii="宋体" w:hAnsi="宋体" w:eastAsia="宋体"/>
                <w:highlight w:val="none"/>
              </w:rPr>
            </w:pPr>
            <w:r>
              <w:rPr>
                <w:rFonts w:hint="eastAsia" w:ascii="宋体" w:hAnsi="宋体" w:eastAsia="宋体"/>
                <w:highlight w:val="none"/>
              </w:rPr>
              <w:t>投标报价得分=(评标基准价/投标报价)×10</w:t>
            </w:r>
          </w:p>
        </w:tc>
      </w:tr>
      <w:tr w14:paraId="7421D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07" w:type="dxa"/>
            <w:gridSpan w:val="2"/>
            <w:tcBorders>
              <w:top w:val="single" w:color="auto" w:sz="4" w:space="0"/>
              <w:bottom w:val="single" w:color="auto" w:sz="4" w:space="0"/>
              <w:right w:val="single" w:color="auto" w:sz="4" w:space="0"/>
            </w:tcBorders>
            <w:noWrap/>
            <w:vAlign w:val="center"/>
          </w:tcPr>
          <w:p w14:paraId="4EA42165">
            <w:pPr>
              <w:widowControl/>
              <w:ind w:firstLine="420"/>
              <w:jc w:val="left"/>
              <w:rPr>
                <w:rFonts w:ascii="宋体" w:hAnsi="宋体" w:eastAsia="宋体"/>
                <w:highlight w:val="none"/>
              </w:rPr>
            </w:pPr>
            <w:r>
              <w:rPr>
                <w:rFonts w:ascii="宋体" w:hAnsi="宋体" w:eastAsia="宋体"/>
                <w:highlight w:val="none"/>
              </w:rPr>
              <w:t>2.2.4</w:t>
            </w:r>
          </w:p>
          <w:p w14:paraId="150E2547">
            <w:pPr>
              <w:widowControl/>
              <w:ind w:firstLine="420"/>
              <w:jc w:val="left"/>
              <w:rPr>
                <w:rFonts w:ascii="宋体" w:hAnsi="宋体" w:eastAsia="宋体"/>
                <w:highlight w:val="none"/>
              </w:rPr>
            </w:pPr>
            <w:r>
              <w:rPr>
                <w:rFonts w:hint="eastAsia" w:ascii="宋体" w:hAnsi="宋体" w:eastAsia="宋体"/>
                <w:highlight w:val="none"/>
              </w:rPr>
              <w:t>说明</w:t>
            </w:r>
          </w:p>
        </w:tc>
        <w:tc>
          <w:tcPr>
            <w:tcW w:w="9098" w:type="dxa"/>
            <w:gridSpan w:val="4"/>
            <w:tcBorders>
              <w:top w:val="single" w:color="auto" w:sz="4" w:space="0"/>
              <w:bottom w:val="single" w:color="auto" w:sz="4" w:space="0"/>
              <w:right w:val="single" w:color="auto" w:sz="4" w:space="0"/>
            </w:tcBorders>
            <w:vAlign w:val="center"/>
          </w:tcPr>
          <w:p w14:paraId="10524BEC">
            <w:pPr>
              <w:widowControl/>
              <w:spacing w:line="360" w:lineRule="exact"/>
              <w:ind w:firstLine="420"/>
              <w:rPr>
                <w:rFonts w:ascii="宋体" w:hAnsi="宋体" w:eastAsia="宋体"/>
                <w:highlight w:val="none"/>
              </w:rPr>
            </w:pPr>
            <w:r>
              <w:rPr>
                <w:rFonts w:hint="eastAsia" w:ascii="宋体" w:hAnsi="宋体" w:eastAsia="宋体"/>
                <w:highlight w:val="none"/>
              </w:rPr>
              <w:t>投标人的综合得分为各评委的评分汇总后的算术平均值（分数出现小数点时，保留小数点后二位，第三位小数四舍五入）。</w:t>
            </w:r>
          </w:p>
        </w:tc>
      </w:tr>
    </w:tbl>
    <w:p w14:paraId="6DDE9528">
      <w:pPr>
        <w:rPr>
          <w:highlight w:val="none"/>
        </w:rPr>
      </w:pPr>
    </w:p>
    <w:p w14:paraId="1010ACC2">
      <w:pPr>
        <w:rPr>
          <w:highlight w:val="none"/>
        </w:rPr>
      </w:pPr>
    </w:p>
    <w:p w14:paraId="562575B9">
      <w:pPr>
        <w:rPr>
          <w:highlight w:val="none"/>
        </w:rPr>
      </w:pPr>
    </w:p>
    <w:p w14:paraId="1DB2E6A9">
      <w:pPr>
        <w:widowControl/>
        <w:jc w:val="left"/>
        <w:rPr>
          <w:rFonts w:ascii="宋体" w:hAnsi="宋体" w:eastAsia="宋体"/>
          <w:highlight w:val="none"/>
        </w:rPr>
      </w:pPr>
      <w:r>
        <w:rPr>
          <w:rFonts w:ascii="宋体" w:hAnsi="宋体" w:eastAsia="宋体"/>
          <w:highlight w:val="none"/>
        </w:rPr>
        <w:br w:type="page"/>
      </w:r>
    </w:p>
    <w:p w14:paraId="058BF7F3">
      <w:pPr>
        <w:pStyle w:val="3"/>
        <w:rPr>
          <w:color w:val="auto"/>
          <w:highlight w:val="none"/>
        </w:rPr>
      </w:pPr>
      <w:bookmarkStart w:id="324" w:name="_Toc492300628"/>
      <w:bookmarkStart w:id="325" w:name="_Toc11301"/>
      <w:r>
        <w:rPr>
          <w:color w:val="auto"/>
          <w:highlight w:val="none"/>
        </w:rPr>
        <w:t xml:space="preserve">1. </w:t>
      </w:r>
      <w:r>
        <w:rPr>
          <w:rFonts w:hint="eastAsia"/>
          <w:color w:val="auto"/>
          <w:highlight w:val="none"/>
        </w:rPr>
        <w:t>评标方法</w:t>
      </w:r>
      <w:bookmarkEnd w:id="324"/>
      <w:bookmarkEnd w:id="325"/>
    </w:p>
    <w:p w14:paraId="6CDFF8B6">
      <w:pPr>
        <w:spacing w:line="360" w:lineRule="auto"/>
        <w:ind w:firstLine="420" w:firstLineChars="200"/>
        <w:rPr>
          <w:rFonts w:ascii="宋体" w:hAnsi="宋体" w:eastAsia="宋体"/>
          <w:highlight w:val="none"/>
        </w:rPr>
      </w:pPr>
      <w:r>
        <w:rPr>
          <w:rFonts w:hint="eastAsia" w:ascii="宋体" w:hAnsi="宋体" w:eastAsia="宋体"/>
          <w:highlight w:val="none"/>
        </w:rPr>
        <w:t>本次评标采用综合评估法。评标委员会对满足招标文件实质性要求的投标文件，按照本章第</w:t>
      </w:r>
      <w:r>
        <w:rPr>
          <w:rFonts w:ascii="宋体" w:hAnsi="宋体" w:eastAsia="宋体"/>
          <w:highlight w:val="none"/>
        </w:rPr>
        <w:t>2.2款规定的评分标准进行打分，并按得分由高到低顺序推荐中标候选人，或根据招标人授权直接确定中标人</w:t>
      </w:r>
      <w:bookmarkStart w:id="326" w:name="_Toc352691533"/>
      <w:bookmarkStart w:id="327" w:name="_Toc384308272"/>
      <w:bookmarkStart w:id="328" w:name="_Toc247514022"/>
      <w:bookmarkStart w:id="329" w:name="_Toc300835008"/>
      <w:bookmarkStart w:id="330" w:name="_Toc247527623"/>
      <w:bookmarkStart w:id="331" w:name="_Toc4497"/>
      <w:bookmarkStart w:id="332" w:name="_Toc152042375"/>
      <w:bookmarkStart w:id="333" w:name="_Toc152045598"/>
      <w:bookmarkStart w:id="334" w:name="_Toc369531577"/>
      <w:bookmarkStart w:id="335" w:name="_Toc361508646"/>
      <w:bookmarkStart w:id="336" w:name="_Toc144974565"/>
      <w:r>
        <w:rPr>
          <w:rFonts w:hint="eastAsia" w:ascii="宋体" w:hAnsi="宋体" w:eastAsia="宋体"/>
          <w:highlight w:val="none"/>
        </w:rPr>
        <w:t>。</w:t>
      </w:r>
      <w:bookmarkEnd w:id="326"/>
      <w:bookmarkEnd w:id="327"/>
      <w:bookmarkEnd w:id="328"/>
      <w:bookmarkEnd w:id="329"/>
      <w:bookmarkEnd w:id="330"/>
      <w:bookmarkEnd w:id="331"/>
      <w:bookmarkEnd w:id="332"/>
      <w:bookmarkEnd w:id="333"/>
      <w:bookmarkEnd w:id="334"/>
      <w:bookmarkEnd w:id="335"/>
      <w:bookmarkEnd w:id="336"/>
      <w:r>
        <w:rPr>
          <w:rFonts w:hint="eastAsia" w:ascii="宋体" w:hAnsi="宋体" w:eastAsia="宋体"/>
          <w:highlight w:val="none"/>
        </w:rPr>
        <w:t>综合评分相等时，以投标报价低的优先；投标报价也相等的，以技术服务方案得分高的优先；如果技术服务方案得分也相等，</w:t>
      </w:r>
      <w:r>
        <w:rPr>
          <w:rFonts w:ascii="宋体" w:hAnsi="宋体" w:eastAsia="宋体"/>
          <w:highlight w:val="none"/>
        </w:rPr>
        <w:t>按照评标办法前附表的规定确定中标候选人顺序。</w:t>
      </w:r>
    </w:p>
    <w:p w14:paraId="5109F4A7">
      <w:pPr>
        <w:pStyle w:val="3"/>
        <w:rPr>
          <w:color w:val="auto"/>
          <w:highlight w:val="none"/>
        </w:rPr>
      </w:pPr>
      <w:bookmarkStart w:id="337" w:name="_Toc12453"/>
      <w:bookmarkStart w:id="338" w:name="_Toc492300629"/>
      <w:r>
        <w:rPr>
          <w:color w:val="auto"/>
          <w:highlight w:val="none"/>
        </w:rPr>
        <w:t xml:space="preserve">2. </w:t>
      </w:r>
      <w:r>
        <w:rPr>
          <w:rFonts w:hint="eastAsia"/>
          <w:color w:val="auto"/>
          <w:highlight w:val="none"/>
        </w:rPr>
        <w:t>评审标准</w:t>
      </w:r>
      <w:bookmarkEnd w:id="337"/>
      <w:bookmarkEnd w:id="338"/>
    </w:p>
    <w:p w14:paraId="30F5AFF2">
      <w:pPr>
        <w:pStyle w:val="4"/>
        <w:spacing w:before="0" w:after="0" w:line="360" w:lineRule="auto"/>
        <w:ind w:firstLine="560" w:firstLineChars="200"/>
        <w:rPr>
          <w:rFonts w:ascii="宋体" w:hAnsi="宋体" w:eastAsia="宋体"/>
          <w:highlight w:val="none"/>
        </w:rPr>
      </w:pPr>
      <w:bookmarkStart w:id="339" w:name="_Toc133420530"/>
      <w:bookmarkStart w:id="340" w:name="_Toc492300630"/>
      <w:bookmarkStart w:id="341" w:name="_Toc9710"/>
      <w:bookmarkStart w:id="342" w:name="_Toc36466626"/>
      <w:bookmarkStart w:id="343" w:name="_Toc51055774"/>
      <w:bookmarkStart w:id="344" w:name="_Toc45266456"/>
      <w:r>
        <w:rPr>
          <w:rFonts w:ascii="宋体" w:hAnsi="宋体" w:eastAsia="宋体"/>
          <w:highlight w:val="none"/>
        </w:rPr>
        <w:t xml:space="preserve">2.1 </w:t>
      </w:r>
      <w:r>
        <w:rPr>
          <w:rFonts w:hint="eastAsia" w:ascii="宋体" w:hAnsi="宋体" w:eastAsia="宋体"/>
          <w:highlight w:val="none"/>
        </w:rPr>
        <w:t>初步评审标准</w:t>
      </w:r>
      <w:bookmarkEnd w:id="339"/>
      <w:bookmarkEnd w:id="340"/>
      <w:bookmarkEnd w:id="341"/>
      <w:bookmarkEnd w:id="342"/>
      <w:bookmarkEnd w:id="343"/>
      <w:bookmarkEnd w:id="344"/>
    </w:p>
    <w:p w14:paraId="04C970E9">
      <w:pPr>
        <w:spacing w:line="360" w:lineRule="auto"/>
        <w:ind w:firstLine="420" w:firstLineChars="200"/>
        <w:rPr>
          <w:rFonts w:ascii="宋体" w:hAnsi="宋体" w:eastAsia="宋体"/>
          <w:highlight w:val="none"/>
        </w:rPr>
      </w:pPr>
      <w:r>
        <w:rPr>
          <w:rFonts w:ascii="宋体" w:hAnsi="宋体" w:eastAsia="宋体"/>
          <w:highlight w:val="none"/>
        </w:rPr>
        <w:t xml:space="preserve">2.1.1 </w:t>
      </w:r>
      <w:r>
        <w:rPr>
          <w:rFonts w:hint="eastAsia" w:ascii="宋体" w:hAnsi="宋体" w:eastAsia="宋体"/>
          <w:highlight w:val="none"/>
        </w:rPr>
        <w:t>形式评审标准：见评标办法前附表。</w:t>
      </w:r>
    </w:p>
    <w:p w14:paraId="6F318CFD">
      <w:pPr>
        <w:spacing w:line="360" w:lineRule="auto"/>
        <w:ind w:firstLine="420" w:firstLineChars="200"/>
        <w:rPr>
          <w:rFonts w:ascii="宋体" w:hAnsi="宋体" w:eastAsia="宋体"/>
          <w:highlight w:val="none"/>
        </w:rPr>
      </w:pPr>
      <w:r>
        <w:rPr>
          <w:rFonts w:ascii="宋体" w:hAnsi="宋体" w:eastAsia="宋体"/>
          <w:highlight w:val="none"/>
        </w:rPr>
        <w:t xml:space="preserve">2.1.2 </w:t>
      </w:r>
      <w:r>
        <w:rPr>
          <w:rFonts w:hint="eastAsia" w:ascii="宋体" w:hAnsi="宋体" w:eastAsia="宋体"/>
          <w:highlight w:val="none"/>
        </w:rPr>
        <w:t>资格评审标准：见评标办法前附表。</w:t>
      </w:r>
    </w:p>
    <w:p w14:paraId="4BF96927">
      <w:pPr>
        <w:spacing w:line="360" w:lineRule="auto"/>
        <w:ind w:firstLine="420" w:firstLineChars="200"/>
        <w:rPr>
          <w:rFonts w:ascii="宋体" w:hAnsi="宋体" w:eastAsia="宋体"/>
          <w:highlight w:val="none"/>
        </w:rPr>
      </w:pPr>
      <w:r>
        <w:rPr>
          <w:rFonts w:ascii="宋体" w:hAnsi="宋体" w:eastAsia="宋体"/>
          <w:highlight w:val="none"/>
        </w:rPr>
        <w:t xml:space="preserve">2.1.3 </w:t>
      </w:r>
      <w:r>
        <w:rPr>
          <w:rFonts w:hint="eastAsia" w:ascii="宋体" w:hAnsi="宋体" w:eastAsia="宋体"/>
          <w:highlight w:val="none"/>
        </w:rPr>
        <w:t>响应性评审标准：见评标办法前附表。</w:t>
      </w:r>
    </w:p>
    <w:p w14:paraId="428E11A5">
      <w:pPr>
        <w:pStyle w:val="4"/>
        <w:spacing w:before="0" w:after="0" w:line="360" w:lineRule="auto"/>
        <w:ind w:firstLine="560" w:firstLineChars="200"/>
        <w:rPr>
          <w:rFonts w:ascii="宋体" w:hAnsi="宋体" w:eastAsia="宋体"/>
          <w:highlight w:val="none"/>
        </w:rPr>
      </w:pPr>
      <w:bookmarkStart w:id="345" w:name="_Toc36466627"/>
      <w:bookmarkStart w:id="346" w:name="_Toc1958"/>
      <w:bookmarkStart w:id="347" w:name="_Toc133420531"/>
      <w:bookmarkStart w:id="348" w:name="_Toc492300631"/>
      <w:bookmarkStart w:id="349" w:name="_Toc45266457"/>
      <w:bookmarkStart w:id="350" w:name="_Toc51055775"/>
      <w:r>
        <w:rPr>
          <w:rFonts w:ascii="宋体" w:hAnsi="宋体" w:eastAsia="宋体"/>
          <w:highlight w:val="none"/>
        </w:rPr>
        <w:t xml:space="preserve">2.2 </w:t>
      </w:r>
      <w:r>
        <w:rPr>
          <w:rFonts w:hint="eastAsia" w:ascii="宋体" w:hAnsi="宋体" w:eastAsia="宋体"/>
          <w:highlight w:val="none"/>
        </w:rPr>
        <w:t>分值构成与评分标准</w:t>
      </w:r>
      <w:bookmarkEnd w:id="345"/>
      <w:bookmarkEnd w:id="346"/>
      <w:bookmarkEnd w:id="347"/>
      <w:bookmarkEnd w:id="348"/>
      <w:bookmarkEnd w:id="349"/>
      <w:bookmarkEnd w:id="350"/>
    </w:p>
    <w:p w14:paraId="38563532">
      <w:pPr>
        <w:spacing w:line="360" w:lineRule="auto"/>
        <w:ind w:firstLine="420" w:firstLineChars="200"/>
        <w:rPr>
          <w:rFonts w:ascii="宋体" w:hAnsi="宋体" w:eastAsia="宋体"/>
          <w:highlight w:val="none"/>
        </w:rPr>
      </w:pPr>
      <w:r>
        <w:rPr>
          <w:rFonts w:ascii="宋体" w:hAnsi="宋体" w:eastAsia="宋体"/>
          <w:highlight w:val="none"/>
        </w:rPr>
        <w:t xml:space="preserve">2.2.1 </w:t>
      </w:r>
      <w:r>
        <w:rPr>
          <w:rFonts w:hint="eastAsia" w:ascii="宋体" w:hAnsi="宋体" w:eastAsia="宋体"/>
          <w:highlight w:val="none"/>
        </w:rPr>
        <w:t>分值构成</w:t>
      </w:r>
    </w:p>
    <w:p w14:paraId="090E0A9A">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1）商务部分：见评标办法前附表；</w:t>
      </w:r>
    </w:p>
    <w:p w14:paraId="3557427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2）技术服务方案部分：见评标办法前附表；</w:t>
      </w:r>
    </w:p>
    <w:p w14:paraId="6CA5038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3）投标报价：见评标办法前附表；</w:t>
      </w:r>
    </w:p>
    <w:p w14:paraId="3ECFC0D7">
      <w:pPr>
        <w:spacing w:line="360" w:lineRule="auto"/>
        <w:ind w:firstLine="420" w:firstLineChars="200"/>
        <w:rPr>
          <w:rFonts w:ascii="宋体" w:hAnsi="宋体" w:eastAsia="宋体"/>
          <w:highlight w:val="none"/>
        </w:rPr>
      </w:pPr>
      <w:r>
        <w:rPr>
          <w:rFonts w:ascii="宋体" w:hAnsi="宋体" w:eastAsia="宋体"/>
          <w:highlight w:val="none"/>
        </w:rPr>
        <w:t xml:space="preserve">2.2.2 </w:t>
      </w:r>
      <w:r>
        <w:rPr>
          <w:rFonts w:hint="eastAsia" w:ascii="宋体" w:hAnsi="宋体" w:eastAsia="宋体"/>
          <w:highlight w:val="none"/>
        </w:rPr>
        <w:t>评标基准价计算</w:t>
      </w:r>
    </w:p>
    <w:p w14:paraId="0635C22A">
      <w:pPr>
        <w:spacing w:line="360" w:lineRule="auto"/>
        <w:ind w:firstLine="420" w:firstLineChars="200"/>
        <w:rPr>
          <w:rFonts w:ascii="宋体" w:hAnsi="宋体" w:eastAsia="宋体"/>
          <w:highlight w:val="none"/>
        </w:rPr>
      </w:pPr>
      <w:r>
        <w:rPr>
          <w:rFonts w:hint="eastAsia" w:ascii="宋体" w:hAnsi="宋体" w:eastAsia="宋体"/>
          <w:highlight w:val="none"/>
        </w:rPr>
        <w:t>评标基准价计算方法：见评标办法前附表。</w:t>
      </w:r>
    </w:p>
    <w:p w14:paraId="6DABA334">
      <w:pPr>
        <w:spacing w:line="360" w:lineRule="auto"/>
        <w:ind w:firstLine="420" w:firstLineChars="200"/>
        <w:rPr>
          <w:rFonts w:ascii="宋体" w:hAnsi="宋体" w:eastAsia="宋体"/>
          <w:highlight w:val="none"/>
        </w:rPr>
      </w:pPr>
      <w:r>
        <w:rPr>
          <w:rFonts w:ascii="宋体" w:hAnsi="宋体" w:eastAsia="宋体"/>
          <w:highlight w:val="none"/>
        </w:rPr>
        <w:t>2.2.</w:t>
      </w:r>
      <w:r>
        <w:rPr>
          <w:rFonts w:hint="eastAsia" w:ascii="宋体" w:hAnsi="宋体" w:eastAsia="宋体"/>
          <w:highlight w:val="none"/>
        </w:rPr>
        <w:t>3评分标准</w:t>
      </w:r>
    </w:p>
    <w:p w14:paraId="27CDDBBF">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1）商务部分评分标准：见评标办法前附表；</w:t>
      </w:r>
    </w:p>
    <w:p w14:paraId="59E0D54D">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2）技术服务方案评分标准：见评标办法前附表；</w:t>
      </w:r>
    </w:p>
    <w:p w14:paraId="19A50E85">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3）投标报价评分标准：见评标办法前附表；</w:t>
      </w:r>
    </w:p>
    <w:p w14:paraId="218D1287">
      <w:pPr>
        <w:pStyle w:val="3"/>
        <w:rPr>
          <w:color w:val="auto"/>
          <w:highlight w:val="none"/>
        </w:rPr>
      </w:pPr>
      <w:bookmarkStart w:id="351" w:name="_Toc492300632"/>
      <w:bookmarkStart w:id="352" w:name="_Toc32757"/>
      <w:r>
        <w:rPr>
          <w:color w:val="auto"/>
          <w:highlight w:val="none"/>
        </w:rPr>
        <w:t xml:space="preserve">3. </w:t>
      </w:r>
      <w:r>
        <w:rPr>
          <w:rFonts w:hint="eastAsia"/>
          <w:color w:val="auto"/>
          <w:highlight w:val="none"/>
        </w:rPr>
        <w:t>评标程序</w:t>
      </w:r>
      <w:bookmarkEnd w:id="351"/>
      <w:bookmarkEnd w:id="352"/>
    </w:p>
    <w:p w14:paraId="3EB1B04D">
      <w:pPr>
        <w:pStyle w:val="4"/>
        <w:spacing w:before="0" w:after="0" w:line="360" w:lineRule="auto"/>
        <w:ind w:firstLine="560" w:firstLineChars="200"/>
        <w:rPr>
          <w:rFonts w:ascii="宋体" w:hAnsi="宋体" w:eastAsia="宋体"/>
          <w:highlight w:val="none"/>
        </w:rPr>
      </w:pPr>
      <w:bookmarkStart w:id="353" w:name="_Toc22546"/>
      <w:bookmarkStart w:id="354" w:name="_Toc133420533"/>
      <w:bookmarkStart w:id="355" w:name="_Toc45266459"/>
      <w:bookmarkStart w:id="356" w:name="_Toc51055777"/>
      <w:bookmarkStart w:id="357" w:name="_Toc36466629"/>
      <w:bookmarkStart w:id="358" w:name="_Toc492300633"/>
      <w:r>
        <w:rPr>
          <w:rFonts w:ascii="宋体" w:hAnsi="宋体" w:eastAsia="宋体"/>
          <w:highlight w:val="none"/>
        </w:rPr>
        <w:t xml:space="preserve">3.1 </w:t>
      </w:r>
      <w:r>
        <w:rPr>
          <w:rFonts w:hint="eastAsia" w:ascii="宋体" w:hAnsi="宋体" w:eastAsia="宋体"/>
          <w:highlight w:val="none"/>
        </w:rPr>
        <w:t>初步评审</w:t>
      </w:r>
      <w:bookmarkEnd w:id="353"/>
      <w:bookmarkEnd w:id="354"/>
      <w:bookmarkEnd w:id="355"/>
      <w:bookmarkEnd w:id="356"/>
      <w:bookmarkEnd w:id="357"/>
      <w:bookmarkEnd w:id="358"/>
    </w:p>
    <w:p w14:paraId="021133AC">
      <w:pPr>
        <w:spacing w:line="360" w:lineRule="auto"/>
        <w:ind w:firstLine="420" w:firstLineChars="200"/>
        <w:rPr>
          <w:rFonts w:ascii="宋体" w:hAnsi="宋体" w:eastAsia="宋体"/>
          <w:highlight w:val="none"/>
        </w:rPr>
      </w:pPr>
      <w:r>
        <w:rPr>
          <w:rFonts w:ascii="宋体" w:hAnsi="宋体" w:eastAsia="宋体"/>
          <w:highlight w:val="none"/>
        </w:rPr>
        <w:t xml:space="preserve">3.1.1 </w:t>
      </w:r>
      <w:r>
        <w:rPr>
          <w:rFonts w:hint="eastAsia" w:ascii="宋体" w:hAnsi="宋体" w:eastAsia="宋体"/>
          <w:highlight w:val="none"/>
        </w:rPr>
        <w:t>评标委员会可以要求投标人提交第二章“投标人须知”规定的有关证明和证件的原件，以便核验。评标委员会依据本章第</w:t>
      </w:r>
      <w:r>
        <w:rPr>
          <w:rFonts w:ascii="宋体" w:hAnsi="宋体" w:eastAsia="宋体"/>
          <w:highlight w:val="none"/>
        </w:rPr>
        <w:t>2.1款规定的标准对投标文件进行初步评审。有一项不符合评审标准的，评标委员会应当否决其投标。</w:t>
      </w:r>
    </w:p>
    <w:p w14:paraId="765A74A4">
      <w:pPr>
        <w:spacing w:line="360" w:lineRule="auto"/>
        <w:ind w:firstLine="420" w:firstLineChars="200"/>
        <w:rPr>
          <w:rFonts w:ascii="宋体" w:hAnsi="宋体" w:eastAsia="宋体"/>
          <w:highlight w:val="none"/>
        </w:rPr>
      </w:pPr>
      <w:r>
        <w:rPr>
          <w:rFonts w:ascii="宋体" w:hAnsi="宋体" w:eastAsia="宋体"/>
          <w:highlight w:val="none"/>
        </w:rPr>
        <w:t xml:space="preserve">3.1.2 </w:t>
      </w:r>
      <w:r>
        <w:rPr>
          <w:rFonts w:hint="eastAsia" w:ascii="宋体" w:hAnsi="宋体" w:eastAsia="宋体"/>
          <w:highlight w:val="none"/>
        </w:rPr>
        <w:t>投标人有以下情形之一的，评标委员会应当否决其投标：</w:t>
      </w:r>
    </w:p>
    <w:p w14:paraId="5ED25EF4">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1）投标文件没有对招标文件的实质性要求和条件作出响应，或者对招标文件的偏差</w:t>
      </w:r>
      <w:r>
        <w:rPr>
          <w:rFonts w:hint="eastAsia" w:ascii="宋体" w:hAnsi="宋体" w:eastAsia="宋体"/>
          <w:highlight w:val="none"/>
        </w:rPr>
        <w:t>超出招标文件规定的偏差范围或最高项数；</w:t>
      </w:r>
    </w:p>
    <w:p w14:paraId="6689F28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2）有串通投标、弄虚作假、行贿等违法行为。</w:t>
      </w:r>
    </w:p>
    <w:p w14:paraId="419AEA12">
      <w:pPr>
        <w:spacing w:line="360" w:lineRule="auto"/>
        <w:ind w:firstLine="420" w:firstLineChars="200"/>
        <w:rPr>
          <w:rFonts w:ascii="宋体" w:hAnsi="宋体" w:eastAsia="宋体"/>
          <w:highlight w:val="none"/>
        </w:rPr>
      </w:pPr>
      <w:r>
        <w:rPr>
          <w:rFonts w:ascii="宋体" w:hAnsi="宋体" w:eastAsia="宋体"/>
          <w:highlight w:val="none"/>
        </w:rPr>
        <w:t xml:space="preserve">3.1.3 </w:t>
      </w:r>
      <w:r>
        <w:rPr>
          <w:rFonts w:hint="eastAsia" w:ascii="宋体" w:hAnsi="宋体" w:eastAsia="宋体"/>
          <w:highlight w:val="none"/>
        </w:rPr>
        <w:t>投标报价有算术错误及其他错误的，评标委员会按以下原则要求投标人对投标报价进</w:t>
      </w:r>
      <w:bookmarkStart w:id="359" w:name="_Toc2907"/>
      <w:bookmarkStart w:id="360" w:name="_Toc247514027"/>
      <w:bookmarkStart w:id="361" w:name="_Toc144974570"/>
      <w:bookmarkStart w:id="362" w:name="_Toc369531582"/>
      <w:bookmarkStart w:id="363" w:name="_Toc152042380"/>
      <w:bookmarkStart w:id="364" w:name="_Toc384308277"/>
      <w:bookmarkStart w:id="365" w:name="_Toc352691538"/>
      <w:bookmarkStart w:id="366" w:name="_Toc152045603"/>
      <w:bookmarkStart w:id="367" w:name="_Toc300835013"/>
      <w:bookmarkStart w:id="368" w:name="_Toc247527628"/>
      <w:bookmarkStart w:id="369" w:name="_Toc361508651"/>
      <w:r>
        <w:rPr>
          <w:rFonts w:hint="eastAsia" w:ascii="宋体" w:hAnsi="宋体" w:eastAsia="宋体"/>
          <w:highlight w:val="none"/>
        </w:rPr>
        <w:t>行修正，并要求投标人书面澄清确认。</w:t>
      </w:r>
      <w:bookmarkEnd w:id="359"/>
      <w:bookmarkEnd w:id="360"/>
      <w:bookmarkEnd w:id="361"/>
      <w:bookmarkEnd w:id="362"/>
      <w:bookmarkEnd w:id="363"/>
      <w:bookmarkEnd w:id="364"/>
      <w:bookmarkEnd w:id="365"/>
      <w:bookmarkEnd w:id="366"/>
      <w:bookmarkEnd w:id="367"/>
      <w:bookmarkEnd w:id="368"/>
      <w:bookmarkEnd w:id="369"/>
      <w:r>
        <w:rPr>
          <w:rFonts w:hint="eastAsia" w:ascii="宋体" w:hAnsi="宋体" w:eastAsia="宋体"/>
          <w:highlight w:val="none"/>
        </w:rPr>
        <w:t>投标人拒不澄清确认的，评标委员会应当否决其投标：</w:t>
      </w:r>
    </w:p>
    <w:p w14:paraId="05A9C391">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1）投标文件中的大写金额与小写金额不一致的，以大写金额为准；</w:t>
      </w:r>
    </w:p>
    <w:p w14:paraId="0A679D91">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2）总价金额与单价金额不一致的，以单价金额为准，但单价金额小数点有明显错误的除外。</w:t>
      </w:r>
    </w:p>
    <w:p w14:paraId="337AB55E">
      <w:pPr>
        <w:pStyle w:val="4"/>
        <w:spacing w:before="0" w:after="0" w:line="360" w:lineRule="auto"/>
        <w:ind w:firstLine="560" w:firstLineChars="200"/>
        <w:rPr>
          <w:rFonts w:ascii="宋体" w:hAnsi="宋体" w:eastAsia="宋体"/>
          <w:highlight w:val="none"/>
        </w:rPr>
      </w:pPr>
      <w:bookmarkStart w:id="370" w:name="_Toc78"/>
      <w:bookmarkStart w:id="371" w:name="_Toc133420534"/>
      <w:bookmarkStart w:id="372" w:name="_Toc45266460"/>
      <w:bookmarkStart w:id="373" w:name="_Toc36466630"/>
      <w:bookmarkStart w:id="374" w:name="_Toc51055778"/>
      <w:bookmarkStart w:id="375" w:name="_Toc492300634"/>
      <w:r>
        <w:rPr>
          <w:rFonts w:ascii="宋体" w:hAnsi="宋体" w:eastAsia="宋体"/>
          <w:highlight w:val="none"/>
        </w:rPr>
        <w:t xml:space="preserve">3.2 </w:t>
      </w:r>
      <w:r>
        <w:rPr>
          <w:rFonts w:hint="eastAsia" w:ascii="宋体" w:hAnsi="宋体" w:eastAsia="宋体"/>
          <w:highlight w:val="none"/>
        </w:rPr>
        <w:t>详细评审</w:t>
      </w:r>
      <w:bookmarkEnd w:id="370"/>
      <w:bookmarkEnd w:id="371"/>
      <w:bookmarkEnd w:id="372"/>
      <w:bookmarkEnd w:id="373"/>
      <w:bookmarkEnd w:id="374"/>
      <w:bookmarkEnd w:id="375"/>
    </w:p>
    <w:p w14:paraId="5DAC6A3A">
      <w:pPr>
        <w:spacing w:line="360" w:lineRule="auto"/>
        <w:ind w:firstLine="420" w:firstLineChars="200"/>
        <w:rPr>
          <w:rFonts w:ascii="宋体" w:hAnsi="宋体" w:eastAsia="宋体"/>
          <w:highlight w:val="none"/>
        </w:rPr>
      </w:pPr>
      <w:r>
        <w:rPr>
          <w:rFonts w:ascii="宋体" w:hAnsi="宋体" w:eastAsia="宋体"/>
          <w:highlight w:val="none"/>
        </w:rPr>
        <w:t xml:space="preserve">3.2.1 </w:t>
      </w:r>
      <w:r>
        <w:rPr>
          <w:rFonts w:hint="eastAsia" w:ascii="宋体" w:hAnsi="宋体" w:eastAsia="宋体"/>
          <w:highlight w:val="none"/>
        </w:rPr>
        <w:t>评标委员会按本章第</w:t>
      </w:r>
      <w:r>
        <w:rPr>
          <w:rFonts w:ascii="宋体" w:hAnsi="宋体" w:eastAsia="宋体"/>
          <w:highlight w:val="none"/>
        </w:rPr>
        <w:t>2.2款规定的量化因素和分值进行打分，并计算出综合评估得分。</w:t>
      </w:r>
    </w:p>
    <w:p w14:paraId="3E029F21">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1）按本章第2.2.</w:t>
      </w:r>
      <w:r>
        <w:rPr>
          <w:rFonts w:hint="eastAsia" w:ascii="宋体" w:hAnsi="宋体" w:eastAsia="宋体"/>
          <w:highlight w:val="none"/>
        </w:rPr>
        <w:t>3</w:t>
      </w:r>
      <w:r>
        <w:rPr>
          <w:rFonts w:ascii="宋体" w:hAnsi="宋体" w:eastAsia="宋体"/>
          <w:highlight w:val="none"/>
        </w:rPr>
        <w:t>（1）目规定的评审因素和分值对商务部分计算出得分A；</w:t>
      </w:r>
    </w:p>
    <w:p w14:paraId="39A0A4FD">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2）按本章第2.2.</w:t>
      </w:r>
      <w:r>
        <w:rPr>
          <w:rFonts w:hint="eastAsia" w:ascii="宋体" w:hAnsi="宋体" w:eastAsia="宋体"/>
          <w:highlight w:val="none"/>
        </w:rPr>
        <w:t>3</w:t>
      </w:r>
      <w:r>
        <w:rPr>
          <w:rFonts w:ascii="宋体" w:hAnsi="宋体" w:eastAsia="宋体"/>
          <w:highlight w:val="none"/>
        </w:rPr>
        <w:t>（2）目规定的评审因素和分值对技术服务方案计算出得分B；</w:t>
      </w:r>
    </w:p>
    <w:p w14:paraId="41709B9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3）按本章第2.2.</w:t>
      </w:r>
      <w:r>
        <w:rPr>
          <w:rFonts w:hint="eastAsia" w:ascii="宋体" w:hAnsi="宋体" w:eastAsia="宋体"/>
          <w:highlight w:val="none"/>
        </w:rPr>
        <w:t>4</w:t>
      </w:r>
      <w:r>
        <w:rPr>
          <w:rFonts w:ascii="宋体" w:hAnsi="宋体" w:eastAsia="宋体"/>
          <w:highlight w:val="none"/>
        </w:rPr>
        <w:t>（3）目规定的评审因素和</w:t>
      </w:r>
      <w:bookmarkStart w:id="376" w:name="_Toc300835014"/>
      <w:bookmarkStart w:id="377" w:name="_Toc384308278"/>
      <w:bookmarkStart w:id="378" w:name="_Toc247514028"/>
      <w:bookmarkStart w:id="379" w:name="_Toc152045604"/>
      <w:bookmarkStart w:id="380" w:name="_Toc144974571"/>
      <w:bookmarkStart w:id="381" w:name="_Toc152042381"/>
      <w:bookmarkStart w:id="382" w:name="_Toc369531583"/>
      <w:bookmarkStart w:id="383" w:name="_Toc24330"/>
      <w:bookmarkStart w:id="384" w:name="_Toc352691539"/>
      <w:bookmarkStart w:id="385" w:name="_Toc247527629"/>
      <w:bookmarkStart w:id="386" w:name="_Toc361508652"/>
      <w:r>
        <w:rPr>
          <w:rFonts w:hint="eastAsia" w:ascii="宋体" w:hAnsi="宋体" w:eastAsia="宋体"/>
          <w:highlight w:val="none"/>
        </w:rPr>
        <w:t>分值对</w:t>
      </w:r>
      <w:bookmarkEnd w:id="376"/>
      <w:bookmarkEnd w:id="377"/>
      <w:bookmarkEnd w:id="378"/>
      <w:bookmarkEnd w:id="379"/>
      <w:bookmarkEnd w:id="380"/>
      <w:bookmarkEnd w:id="381"/>
      <w:bookmarkEnd w:id="382"/>
      <w:bookmarkEnd w:id="383"/>
      <w:bookmarkEnd w:id="384"/>
      <w:bookmarkEnd w:id="385"/>
      <w:bookmarkEnd w:id="386"/>
      <w:r>
        <w:rPr>
          <w:rFonts w:hint="eastAsia" w:ascii="宋体" w:hAnsi="宋体" w:eastAsia="宋体"/>
          <w:highlight w:val="none"/>
        </w:rPr>
        <w:t>投标报价计</w:t>
      </w:r>
      <w:bookmarkStart w:id="387" w:name="_Toc369531584"/>
      <w:bookmarkStart w:id="388" w:name="_Toc18141"/>
      <w:bookmarkStart w:id="389" w:name="_Toc384308279"/>
      <w:bookmarkStart w:id="390" w:name="_Toc144974572"/>
      <w:bookmarkStart w:id="391" w:name="_Toc352691540"/>
      <w:bookmarkStart w:id="392" w:name="_Toc152042382"/>
      <w:bookmarkStart w:id="393" w:name="_Toc152045605"/>
      <w:bookmarkStart w:id="394" w:name="_Toc247527630"/>
      <w:bookmarkStart w:id="395" w:name="_Toc247514029"/>
      <w:bookmarkStart w:id="396" w:name="_Toc361508653"/>
      <w:bookmarkStart w:id="397" w:name="_Toc300835015"/>
      <w:r>
        <w:rPr>
          <w:rFonts w:hint="eastAsia" w:ascii="宋体" w:hAnsi="宋体" w:eastAsia="宋体"/>
          <w:highlight w:val="none"/>
        </w:rPr>
        <w:t>算出得分</w:t>
      </w:r>
      <w:r>
        <w:rPr>
          <w:rFonts w:ascii="宋体" w:hAnsi="宋体" w:eastAsia="宋体"/>
          <w:highlight w:val="none"/>
        </w:rPr>
        <w:t>C；</w:t>
      </w:r>
    </w:p>
    <w:bookmarkEnd w:id="387"/>
    <w:bookmarkEnd w:id="388"/>
    <w:bookmarkEnd w:id="389"/>
    <w:bookmarkEnd w:id="390"/>
    <w:bookmarkEnd w:id="391"/>
    <w:bookmarkEnd w:id="392"/>
    <w:bookmarkEnd w:id="393"/>
    <w:bookmarkEnd w:id="394"/>
    <w:bookmarkEnd w:id="395"/>
    <w:bookmarkEnd w:id="396"/>
    <w:bookmarkEnd w:id="397"/>
    <w:p w14:paraId="517E5B8C">
      <w:pPr>
        <w:spacing w:line="360" w:lineRule="auto"/>
        <w:ind w:firstLine="420" w:firstLineChars="200"/>
        <w:rPr>
          <w:rFonts w:ascii="宋体" w:hAnsi="宋体" w:eastAsia="宋体"/>
          <w:highlight w:val="none"/>
        </w:rPr>
      </w:pPr>
      <w:r>
        <w:rPr>
          <w:rFonts w:ascii="宋体" w:hAnsi="宋体" w:eastAsia="宋体"/>
          <w:highlight w:val="none"/>
        </w:rPr>
        <w:t xml:space="preserve">3.2.2 </w:t>
      </w:r>
      <w:r>
        <w:rPr>
          <w:rFonts w:hint="eastAsia" w:ascii="宋体" w:hAnsi="宋体" w:eastAsia="宋体"/>
          <w:highlight w:val="none"/>
        </w:rPr>
        <w:t>评分分值计算保留小数点后两位，小数点后第三位“四舍五入”。</w:t>
      </w:r>
    </w:p>
    <w:p w14:paraId="5628CEA8">
      <w:pPr>
        <w:spacing w:line="360" w:lineRule="auto"/>
        <w:ind w:firstLine="420" w:firstLineChars="200"/>
        <w:rPr>
          <w:rFonts w:ascii="宋体" w:hAnsi="宋体" w:eastAsia="宋体"/>
          <w:highlight w:val="none"/>
        </w:rPr>
      </w:pPr>
      <w:r>
        <w:rPr>
          <w:rFonts w:ascii="宋体" w:hAnsi="宋体" w:eastAsia="宋体"/>
          <w:highlight w:val="none"/>
        </w:rPr>
        <w:t xml:space="preserve">3.2.3 </w:t>
      </w:r>
      <w:r>
        <w:rPr>
          <w:rFonts w:hint="eastAsia" w:ascii="宋体" w:hAnsi="宋体" w:eastAsia="宋体"/>
          <w:highlight w:val="none"/>
        </w:rPr>
        <w:t>投标人</w:t>
      </w:r>
      <w:r>
        <w:rPr>
          <w:rFonts w:hint="eastAsia" w:ascii="宋体" w:hAnsi="宋体" w:eastAsia="宋体"/>
          <w:szCs w:val="21"/>
          <w:highlight w:val="none"/>
        </w:rPr>
        <w:t>综合</w:t>
      </w:r>
      <w:r>
        <w:rPr>
          <w:rFonts w:hint="eastAsia" w:ascii="宋体" w:hAnsi="宋体" w:eastAsia="宋体"/>
          <w:highlight w:val="none"/>
        </w:rPr>
        <w:t>得分</w:t>
      </w:r>
      <w:r>
        <w:rPr>
          <w:rFonts w:ascii="宋体" w:hAnsi="宋体" w:eastAsia="宋体"/>
          <w:highlight w:val="none"/>
        </w:rPr>
        <w:t>=A+B+C</w:t>
      </w:r>
      <w:r>
        <w:rPr>
          <w:rFonts w:hint="eastAsia" w:ascii="宋体" w:hAnsi="宋体" w:eastAsia="宋体"/>
          <w:highlight w:val="none"/>
        </w:rPr>
        <w:t>。</w:t>
      </w:r>
    </w:p>
    <w:p w14:paraId="401E14A3">
      <w:pPr>
        <w:pStyle w:val="4"/>
        <w:spacing w:before="0" w:after="0" w:line="360" w:lineRule="auto"/>
        <w:ind w:firstLine="560" w:firstLineChars="200"/>
        <w:rPr>
          <w:rFonts w:ascii="宋体" w:hAnsi="宋体" w:eastAsia="宋体"/>
          <w:highlight w:val="none"/>
        </w:rPr>
      </w:pPr>
      <w:bookmarkStart w:id="398" w:name="_Toc51055779"/>
      <w:bookmarkStart w:id="399" w:name="_Toc45266461"/>
      <w:bookmarkStart w:id="400" w:name="_Toc36466631"/>
      <w:bookmarkStart w:id="401" w:name="_Toc133420535"/>
      <w:bookmarkStart w:id="402" w:name="_Toc492300635"/>
      <w:bookmarkStart w:id="403" w:name="_Toc23247"/>
      <w:r>
        <w:rPr>
          <w:rFonts w:ascii="宋体" w:hAnsi="宋体" w:eastAsia="宋体"/>
          <w:highlight w:val="none"/>
        </w:rPr>
        <w:t xml:space="preserve">3.3 </w:t>
      </w:r>
      <w:r>
        <w:rPr>
          <w:rFonts w:hint="eastAsia" w:ascii="宋体" w:hAnsi="宋体" w:eastAsia="宋体"/>
          <w:highlight w:val="none"/>
        </w:rPr>
        <w:t>投标文件的澄清</w:t>
      </w:r>
      <w:bookmarkEnd w:id="398"/>
      <w:bookmarkEnd w:id="399"/>
      <w:bookmarkEnd w:id="400"/>
      <w:bookmarkEnd w:id="401"/>
      <w:bookmarkEnd w:id="402"/>
      <w:bookmarkEnd w:id="403"/>
    </w:p>
    <w:p w14:paraId="473B7354">
      <w:pPr>
        <w:spacing w:line="360" w:lineRule="auto"/>
        <w:ind w:firstLine="420" w:firstLineChars="200"/>
        <w:rPr>
          <w:rFonts w:ascii="宋体" w:hAnsi="宋体" w:eastAsia="宋体"/>
          <w:highlight w:val="none"/>
        </w:rPr>
      </w:pPr>
      <w:r>
        <w:rPr>
          <w:rFonts w:ascii="宋体" w:hAnsi="宋体" w:eastAsia="宋体"/>
          <w:highlight w:val="none"/>
        </w:rPr>
        <w:t xml:space="preserve">3.3.1 </w:t>
      </w:r>
      <w:r>
        <w:rPr>
          <w:rFonts w:hint="eastAsia" w:ascii="宋体" w:hAnsi="宋体" w:eastAsia="宋体"/>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E5758B4">
      <w:pPr>
        <w:spacing w:line="360" w:lineRule="auto"/>
        <w:ind w:firstLine="420" w:firstLineChars="200"/>
        <w:rPr>
          <w:rFonts w:ascii="宋体" w:hAnsi="宋体" w:eastAsia="宋体"/>
          <w:highlight w:val="none"/>
        </w:rPr>
      </w:pPr>
      <w:r>
        <w:rPr>
          <w:rFonts w:ascii="宋体" w:hAnsi="宋体" w:eastAsia="宋体"/>
          <w:highlight w:val="none"/>
        </w:rPr>
        <w:t xml:space="preserve">3.3.2 </w:t>
      </w:r>
      <w:r>
        <w:rPr>
          <w:rFonts w:hint="eastAsia" w:ascii="宋体" w:hAnsi="宋体" w:eastAsia="宋体"/>
          <w:highlight w:val="none"/>
        </w:rPr>
        <w:t>澄清、说明或补正不得超出投标文件的范围且不得改变投标文件的实质性内容，并构成投标文件的组成部分。</w:t>
      </w:r>
    </w:p>
    <w:p w14:paraId="7B8009C1">
      <w:pPr>
        <w:spacing w:line="360" w:lineRule="auto"/>
        <w:ind w:firstLine="420" w:firstLineChars="200"/>
        <w:rPr>
          <w:rFonts w:ascii="宋体" w:hAnsi="宋体" w:eastAsia="宋体"/>
          <w:highlight w:val="none"/>
        </w:rPr>
      </w:pPr>
      <w:r>
        <w:rPr>
          <w:rFonts w:ascii="宋体" w:hAnsi="宋体" w:eastAsia="宋体"/>
          <w:highlight w:val="none"/>
        </w:rPr>
        <w:t xml:space="preserve">3.3.3 </w:t>
      </w:r>
      <w:r>
        <w:rPr>
          <w:rFonts w:hint="eastAsia" w:ascii="宋体" w:hAnsi="宋体" w:eastAsia="宋体"/>
          <w:highlight w:val="none"/>
        </w:rPr>
        <w:t>评标委员会对投标人提交的澄清、说明或补正有疑问的，可以要求投标人进一步澄清、说明或补正，直至满足评标委员会的要求。</w:t>
      </w:r>
    </w:p>
    <w:p w14:paraId="180B8C01">
      <w:pPr>
        <w:pStyle w:val="4"/>
        <w:spacing w:before="0" w:after="0" w:line="360" w:lineRule="auto"/>
        <w:ind w:firstLine="560" w:firstLineChars="200"/>
        <w:rPr>
          <w:rFonts w:ascii="宋体" w:hAnsi="宋体" w:eastAsia="宋体"/>
          <w:highlight w:val="none"/>
        </w:rPr>
      </w:pPr>
      <w:bookmarkStart w:id="404" w:name="_Toc45266462"/>
      <w:bookmarkStart w:id="405" w:name="_Toc25316"/>
      <w:bookmarkStart w:id="406" w:name="_Toc492300636"/>
      <w:bookmarkStart w:id="407" w:name="_Toc133420536"/>
      <w:bookmarkStart w:id="408" w:name="_Toc36466632"/>
      <w:bookmarkStart w:id="409" w:name="_Toc51055780"/>
      <w:r>
        <w:rPr>
          <w:rFonts w:ascii="宋体" w:hAnsi="宋体" w:eastAsia="宋体"/>
          <w:highlight w:val="none"/>
        </w:rPr>
        <w:t xml:space="preserve">3.4 </w:t>
      </w:r>
      <w:r>
        <w:rPr>
          <w:rFonts w:hint="eastAsia" w:ascii="宋体" w:hAnsi="宋体" w:eastAsia="宋体"/>
          <w:highlight w:val="none"/>
        </w:rPr>
        <w:t>评标结果</w:t>
      </w:r>
      <w:bookmarkEnd w:id="404"/>
      <w:bookmarkEnd w:id="405"/>
      <w:bookmarkEnd w:id="406"/>
      <w:bookmarkEnd w:id="407"/>
      <w:bookmarkEnd w:id="408"/>
      <w:bookmarkEnd w:id="409"/>
    </w:p>
    <w:p w14:paraId="37A4E18E">
      <w:pPr>
        <w:spacing w:line="360" w:lineRule="auto"/>
        <w:ind w:firstLine="420" w:firstLineChars="200"/>
        <w:rPr>
          <w:rFonts w:ascii="宋体" w:hAnsi="宋体" w:eastAsia="宋体"/>
          <w:highlight w:val="none"/>
        </w:rPr>
      </w:pPr>
      <w:r>
        <w:rPr>
          <w:rFonts w:ascii="宋体" w:hAnsi="宋体" w:eastAsia="宋体"/>
          <w:highlight w:val="none"/>
        </w:rPr>
        <w:t xml:space="preserve">3.4.1 </w:t>
      </w:r>
      <w:r>
        <w:rPr>
          <w:rFonts w:hint="eastAsia" w:ascii="宋体" w:hAnsi="宋体" w:eastAsia="宋体"/>
          <w:highlight w:val="none"/>
        </w:rPr>
        <w:t>除第二章“投标人须知”前附表授权直接确定中标人外，评标委员会按照得分由高到低的顺序推荐中标候选人，并标明排序。</w:t>
      </w:r>
    </w:p>
    <w:p w14:paraId="5E69F089">
      <w:pPr>
        <w:spacing w:line="360" w:lineRule="auto"/>
        <w:ind w:firstLine="420" w:firstLineChars="200"/>
        <w:rPr>
          <w:rFonts w:ascii="宋体" w:hAnsi="宋体" w:eastAsia="宋体"/>
          <w:highlight w:val="none"/>
        </w:rPr>
      </w:pPr>
      <w:r>
        <w:rPr>
          <w:rFonts w:ascii="宋体" w:hAnsi="宋体" w:eastAsia="宋体"/>
          <w:highlight w:val="none"/>
        </w:rPr>
        <w:t xml:space="preserve">3.4.2 </w:t>
      </w:r>
      <w:r>
        <w:rPr>
          <w:rFonts w:hint="eastAsia" w:ascii="宋体" w:hAnsi="宋体" w:eastAsia="宋体"/>
          <w:highlight w:val="none"/>
        </w:rPr>
        <w:t>评标委员会完成评标后，应当向招标人提交书面评标报告和中标候选人名单。</w:t>
      </w:r>
    </w:p>
    <w:p w14:paraId="6368EE2A">
      <w:pPr>
        <w:pStyle w:val="3"/>
        <w:rPr>
          <w:color w:val="auto"/>
          <w:highlight w:val="none"/>
        </w:rPr>
        <w:sectPr>
          <w:pgSz w:w="11906" w:h="16838"/>
          <w:pgMar w:top="1440" w:right="1800" w:bottom="1440" w:left="1800" w:header="720" w:footer="720" w:gutter="0"/>
          <w:cols w:space="720" w:num="1"/>
          <w:docGrid w:linePitch="286" w:charSpace="0"/>
        </w:sectPr>
      </w:pPr>
    </w:p>
    <w:p w14:paraId="763F7485">
      <w:pPr>
        <w:pStyle w:val="2"/>
        <w:rPr>
          <w:color w:val="auto"/>
          <w:highlight w:val="none"/>
        </w:rPr>
      </w:pPr>
      <w:bookmarkStart w:id="410" w:name="_Toc4171"/>
      <w:r>
        <w:rPr>
          <w:rFonts w:hint="eastAsia"/>
          <w:color w:val="auto"/>
          <w:highlight w:val="none"/>
        </w:rPr>
        <w:t>第四章</w:t>
      </w:r>
      <w:r>
        <w:rPr>
          <w:color w:val="auto"/>
          <w:highlight w:val="none"/>
        </w:rPr>
        <w:t xml:space="preserve"> </w:t>
      </w:r>
      <w:r>
        <w:rPr>
          <w:rFonts w:hint="eastAsia"/>
          <w:color w:val="auto"/>
          <w:highlight w:val="none"/>
        </w:rPr>
        <w:t>合同条款及格式</w:t>
      </w:r>
      <w:bookmarkEnd w:id="410"/>
    </w:p>
    <w:p w14:paraId="7B52847E">
      <w:pPr>
        <w:rPr>
          <w:rFonts w:ascii="宋体" w:hAnsi="宋体" w:eastAsia="宋体"/>
          <w:highlight w:val="none"/>
        </w:rPr>
      </w:pPr>
      <w:bookmarkStart w:id="411" w:name="_Toc246996338"/>
      <w:bookmarkStart w:id="412" w:name="_Toc247085853"/>
      <w:bookmarkStart w:id="413" w:name="_Toc246997081"/>
      <w:bookmarkStart w:id="414" w:name="_Toc179632787"/>
      <w:bookmarkStart w:id="415" w:name="_Toc152042549"/>
      <w:bookmarkStart w:id="416" w:name="_Toc144974578"/>
      <w:bookmarkStart w:id="417" w:name="_Toc300835199"/>
      <w:bookmarkStart w:id="418" w:name="_Toc152042388"/>
      <w:bookmarkStart w:id="419" w:name="_Toc144974829"/>
      <w:bookmarkStart w:id="420" w:name="_Toc152045610"/>
      <w:bookmarkStart w:id="421" w:name="_Toc247527798"/>
      <w:bookmarkStart w:id="422" w:name="_Toc247514197"/>
      <w:bookmarkStart w:id="423" w:name="_Toc184635122"/>
      <w:r>
        <w:rPr>
          <w:rFonts w:ascii="宋体" w:hAnsi="宋体" w:eastAsia="宋体"/>
          <w:highlight w:val="none"/>
        </w:rPr>
        <w:tab/>
      </w:r>
    </w:p>
    <w:p w14:paraId="6F39BD07">
      <w:pPr>
        <w:widowControl/>
        <w:jc w:val="left"/>
        <w:rPr>
          <w:rFonts w:ascii="宋体" w:hAnsi="宋体" w:eastAsia="宋体"/>
          <w:highlight w:val="none"/>
        </w:rPr>
      </w:pPr>
      <w:r>
        <w:rPr>
          <w:rFonts w:ascii="宋体" w:hAnsi="宋体" w:eastAsia="宋体"/>
          <w:highlight w:val="none"/>
        </w:rPr>
        <w:br w:type="page"/>
      </w:r>
    </w:p>
    <w:p w14:paraId="7DBA2850">
      <w:pPr>
        <w:spacing w:line="360" w:lineRule="auto"/>
        <w:jc w:val="left"/>
        <w:rPr>
          <w:rFonts w:ascii="宋体"/>
          <w:sz w:val="24"/>
          <w:szCs w:val="24"/>
          <w:highlight w:val="none"/>
        </w:rPr>
      </w:pPr>
    </w:p>
    <w:p w14:paraId="5BC8C83E">
      <w:pPr>
        <w:adjustRightInd w:val="0"/>
        <w:snapToGrid w:val="0"/>
        <w:jc w:val="center"/>
        <w:rPr>
          <w:rFonts w:ascii="宋体" w:hAnsi="宋体" w:eastAsia="宋体" w:cs="宋体"/>
          <w:b/>
          <w:sz w:val="44"/>
          <w:szCs w:val="44"/>
          <w:highlight w:val="none"/>
        </w:rPr>
      </w:pPr>
    </w:p>
    <w:p w14:paraId="0421E6C2">
      <w:pPr>
        <w:adjustRightInd w:val="0"/>
        <w:snapToGrid w:val="0"/>
        <w:jc w:val="center"/>
        <w:rPr>
          <w:rFonts w:ascii="宋体" w:hAnsi="宋体" w:eastAsia="宋体" w:cs="宋体"/>
          <w:b/>
          <w:sz w:val="44"/>
          <w:szCs w:val="44"/>
          <w:highlight w:val="none"/>
        </w:rPr>
      </w:pPr>
    </w:p>
    <w:p w14:paraId="277436D3">
      <w:pPr>
        <w:adjustRightInd w:val="0"/>
        <w:snapToGrid w:val="0"/>
        <w:jc w:val="center"/>
        <w:rPr>
          <w:rFonts w:ascii="宋体" w:hAnsi="宋体" w:eastAsia="宋体" w:cs="宋体"/>
          <w:b/>
          <w:sz w:val="44"/>
          <w:szCs w:val="44"/>
          <w:highlight w:val="none"/>
        </w:rPr>
      </w:pPr>
    </w:p>
    <w:p w14:paraId="69666351">
      <w:pPr>
        <w:adjustRightInd w:val="0"/>
        <w:snapToGrid w:val="0"/>
        <w:jc w:val="center"/>
        <w:rPr>
          <w:rFonts w:ascii="宋体" w:hAnsi="宋体" w:eastAsia="宋体" w:cs="宋体"/>
          <w:b/>
          <w:sz w:val="44"/>
          <w:szCs w:val="44"/>
          <w:highlight w:val="none"/>
        </w:rPr>
      </w:pPr>
      <w:r>
        <w:rPr>
          <w:rFonts w:hint="eastAsia" w:ascii="宋体" w:hAnsi="宋体" w:eastAsia="宋体" w:cs="宋体"/>
          <w:b/>
          <w:sz w:val="44"/>
          <w:szCs w:val="44"/>
          <w:highlight w:val="none"/>
        </w:rPr>
        <w:t>技术服务合同</w:t>
      </w:r>
    </w:p>
    <w:p w14:paraId="05310CF6">
      <w:pPr>
        <w:adjustRightInd w:val="0"/>
        <w:snapToGrid w:val="0"/>
        <w:jc w:val="center"/>
        <w:rPr>
          <w:rFonts w:ascii="宋体" w:hAnsi="宋体" w:eastAsia="宋体" w:cs="宋体"/>
          <w:b/>
          <w:sz w:val="44"/>
          <w:szCs w:val="44"/>
          <w:highlight w:val="none"/>
        </w:rPr>
      </w:pPr>
    </w:p>
    <w:p w14:paraId="5B81F7B7">
      <w:pPr>
        <w:adjustRightInd w:val="0"/>
        <w:snapToGrid w:val="0"/>
        <w:jc w:val="center"/>
        <w:rPr>
          <w:rFonts w:ascii="宋体" w:hAnsi="宋体" w:eastAsia="宋体" w:cs="宋体"/>
          <w:b/>
          <w:sz w:val="44"/>
          <w:szCs w:val="44"/>
          <w:highlight w:val="none"/>
        </w:rPr>
      </w:pPr>
    </w:p>
    <w:p w14:paraId="701109B0">
      <w:pPr>
        <w:adjustRightInd w:val="0"/>
        <w:snapToGrid w:val="0"/>
        <w:jc w:val="center"/>
        <w:rPr>
          <w:rFonts w:ascii="宋体" w:hAnsi="宋体" w:eastAsia="宋体" w:cs="宋体"/>
          <w:b/>
          <w:sz w:val="44"/>
          <w:szCs w:val="44"/>
          <w:highlight w:val="none"/>
        </w:rPr>
      </w:pPr>
    </w:p>
    <w:p w14:paraId="2E7D6105">
      <w:pPr>
        <w:pStyle w:val="117"/>
        <w:spacing w:line="360" w:lineRule="auto"/>
        <w:ind w:firstLine="480"/>
        <w:jc w:val="center"/>
        <w:rPr>
          <w:rFonts w:hint="default" w:ascii="宋体" w:hAnsi="宋体" w:cs="宋体"/>
          <w:sz w:val="32"/>
          <w:szCs w:val="32"/>
          <w:highlight w:val="none"/>
        </w:rPr>
      </w:pPr>
    </w:p>
    <w:p w14:paraId="7235D96F">
      <w:pPr>
        <w:pStyle w:val="117"/>
        <w:spacing w:line="360" w:lineRule="auto"/>
        <w:rPr>
          <w:rFonts w:hint="default" w:ascii="宋体" w:hAnsi="宋体" w:cs="宋体"/>
          <w:sz w:val="32"/>
          <w:szCs w:val="32"/>
          <w:highlight w:val="none"/>
          <w:u w:val="single"/>
          <w:lang w:eastAsia="zh-CN"/>
        </w:rPr>
      </w:pPr>
      <w:r>
        <w:rPr>
          <w:rFonts w:ascii="宋体" w:hAnsi="宋体" w:cs="宋体"/>
          <w:sz w:val="32"/>
          <w:szCs w:val="32"/>
          <w:highlight w:val="none"/>
        </w:rPr>
        <w:t>项目名称：</w:t>
      </w:r>
      <w:r>
        <w:rPr>
          <w:rFonts w:ascii="宋体" w:hAnsi="宋体" w:cs="宋体"/>
          <w:sz w:val="32"/>
          <w:szCs w:val="32"/>
          <w:highlight w:val="none"/>
          <w:u w:val="single"/>
          <w:lang w:eastAsia="zh-CN"/>
        </w:rPr>
        <w:t>广州市黄埔区云埔街火村社区莲潭经济合作社城中村改造项目（南湾村）改造方案与实施计划编制服务</w:t>
      </w:r>
    </w:p>
    <w:p w14:paraId="7119A7D9">
      <w:pPr>
        <w:adjustRightInd w:val="0"/>
        <w:snapToGrid w:val="0"/>
        <w:spacing w:line="720" w:lineRule="auto"/>
        <w:rPr>
          <w:rFonts w:ascii="宋体" w:hAnsi="宋体" w:eastAsia="宋体" w:cs="宋体"/>
          <w:sz w:val="30"/>
          <w:szCs w:val="30"/>
          <w:highlight w:val="none"/>
        </w:rPr>
      </w:pPr>
    </w:p>
    <w:p w14:paraId="49CA1CF3">
      <w:pPr>
        <w:adjustRightInd w:val="0"/>
        <w:snapToGrid w:val="0"/>
        <w:spacing w:line="720" w:lineRule="auto"/>
        <w:rPr>
          <w:rFonts w:ascii="宋体" w:hAnsi="宋体" w:eastAsia="宋体" w:cs="宋体"/>
          <w:szCs w:val="24"/>
          <w:highlight w:val="none"/>
          <w:u w:val="single"/>
        </w:rPr>
      </w:pPr>
      <w:r>
        <w:rPr>
          <w:rFonts w:hint="eastAsia" w:ascii="宋体" w:hAnsi="宋体" w:eastAsia="宋体" w:cs="宋体"/>
          <w:sz w:val="30"/>
          <w:szCs w:val="30"/>
          <w:highlight w:val="none"/>
        </w:rPr>
        <w:t>委托方（甲方）：</w:t>
      </w:r>
      <w:r>
        <w:rPr>
          <w:rFonts w:hint="eastAsia" w:ascii="宋体" w:hAnsi="宋体" w:eastAsia="宋体" w:cs="宋体"/>
          <w:sz w:val="30"/>
          <w:szCs w:val="30"/>
          <w:highlight w:val="none"/>
          <w:u w:val="single"/>
        </w:rPr>
        <w:t xml:space="preserve">   广州开城联晟城市开发投资有限公司   </w:t>
      </w:r>
    </w:p>
    <w:p w14:paraId="60244D54">
      <w:pPr>
        <w:adjustRightInd w:val="0"/>
        <w:snapToGrid w:val="0"/>
        <w:ind w:firstLine="420" w:firstLineChars="200"/>
        <w:rPr>
          <w:rFonts w:ascii="宋体" w:hAnsi="宋体" w:eastAsia="宋体" w:cs="宋体"/>
          <w:szCs w:val="24"/>
          <w:highlight w:val="none"/>
        </w:rPr>
      </w:pPr>
    </w:p>
    <w:p w14:paraId="5870D4E7">
      <w:pPr>
        <w:adjustRightInd w:val="0"/>
        <w:snapToGrid w:val="0"/>
        <w:spacing w:line="720" w:lineRule="auto"/>
        <w:rPr>
          <w:rFonts w:ascii="宋体" w:hAnsi="宋体" w:eastAsia="宋体" w:cs="宋体"/>
          <w:sz w:val="30"/>
          <w:szCs w:val="30"/>
          <w:highlight w:val="none"/>
          <w:u w:val="single"/>
        </w:rPr>
      </w:pPr>
      <w:r>
        <w:rPr>
          <w:rFonts w:hint="eastAsia" w:ascii="宋体" w:hAnsi="宋体" w:eastAsia="宋体" w:cs="宋体"/>
          <w:sz w:val="30"/>
          <w:szCs w:val="30"/>
          <w:highlight w:val="none"/>
        </w:rPr>
        <w:t>受托方（乙方）：</w:t>
      </w:r>
      <w:r>
        <w:rPr>
          <w:rFonts w:hint="eastAsia" w:ascii="宋体" w:hAnsi="宋体" w:eastAsia="宋体" w:cs="宋体"/>
          <w:sz w:val="30"/>
          <w:szCs w:val="30"/>
          <w:highlight w:val="none"/>
          <w:u w:val="single"/>
        </w:rPr>
        <w:t xml:space="preserve">                                  </w:t>
      </w:r>
    </w:p>
    <w:p w14:paraId="187390DB">
      <w:pPr>
        <w:adjustRightInd w:val="0"/>
        <w:snapToGrid w:val="0"/>
        <w:spacing w:line="720" w:lineRule="auto"/>
        <w:rPr>
          <w:rFonts w:ascii="宋体" w:hAnsi="宋体" w:eastAsia="宋体" w:cs="宋体"/>
          <w:sz w:val="30"/>
          <w:szCs w:val="30"/>
          <w:highlight w:val="none"/>
        </w:rPr>
      </w:pPr>
      <w:r>
        <w:rPr>
          <w:rFonts w:hint="eastAsia" w:ascii="宋体" w:hAnsi="宋体" w:eastAsia="宋体" w:cs="宋体"/>
          <w:sz w:val="30"/>
          <w:szCs w:val="30"/>
          <w:highlight w:val="none"/>
        </w:rPr>
        <w:t xml:space="preserve">签订时间：         2025年    月    日               </w:t>
      </w:r>
    </w:p>
    <w:p w14:paraId="3162491A">
      <w:pPr>
        <w:adjustRightInd w:val="0"/>
        <w:snapToGrid w:val="0"/>
        <w:spacing w:line="720" w:lineRule="auto"/>
        <w:rPr>
          <w:rFonts w:ascii="宋体" w:hAnsi="宋体" w:eastAsia="宋体" w:cs="宋体"/>
          <w:szCs w:val="24"/>
          <w:highlight w:val="none"/>
        </w:rPr>
      </w:pPr>
      <w:r>
        <w:rPr>
          <w:rFonts w:hint="eastAsia" w:ascii="宋体" w:hAnsi="宋体" w:eastAsia="宋体" w:cs="宋体"/>
          <w:sz w:val="30"/>
          <w:szCs w:val="30"/>
          <w:highlight w:val="none"/>
        </w:rPr>
        <w:t xml:space="preserve">签订地点：            广州市黄埔区    </w:t>
      </w:r>
      <w:r>
        <w:rPr>
          <w:rFonts w:hint="eastAsia" w:ascii="宋体" w:hAnsi="宋体" w:eastAsia="宋体" w:cs="宋体"/>
          <w:szCs w:val="24"/>
          <w:highlight w:val="none"/>
        </w:rPr>
        <w:t xml:space="preserve">  </w:t>
      </w:r>
    </w:p>
    <w:p w14:paraId="40D8F428">
      <w:pPr>
        <w:adjustRightInd w:val="0"/>
        <w:snapToGrid w:val="0"/>
        <w:spacing w:line="720" w:lineRule="auto"/>
        <w:rPr>
          <w:rFonts w:ascii="宋体" w:hAnsi="宋体" w:eastAsia="宋体" w:cs="宋体"/>
          <w:szCs w:val="24"/>
          <w:highlight w:val="none"/>
        </w:rPr>
      </w:pPr>
    </w:p>
    <w:p w14:paraId="7B0A0A7E">
      <w:pPr>
        <w:adjustRightInd w:val="0"/>
        <w:snapToGrid w:val="0"/>
        <w:spacing w:line="720" w:lineRule="auto"/>
        <w:ind w:firstLine="1920" w:firstLineChars="600"/>
        <w:rPr>
          <w:rFonts w:ascii="宋体" w:hAnsi="宋体" w:eastAsia="宋体" w:cs="宋体"/>
          <w:sz w:val="32"/>
          <w:szCs w:val="32"/>
          <w:highlight w:val="none"/>
        </w:rPr>
      </w:pPr>
      <w:r>
        <w:rPr>
          <w:rFonts w:hint="eastAsia" w:ascii="宋体" w:hAnsi="宋体" w:eastAsia="宋体" w:cs="宋体"/>
          <w:sz w:val="32"/>
          <w:szCs w:val="32"/>
          <w:highlight w:val="none"/>
        </w:rPr>
        <w:t>中华人民共和国科学技术部印制</w:t>
      </w:r>
    </w:p>
    <w:p w14:paraId="2D603B7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委托方（甲方）：</w:t>
      </w:r>
      <w:r>
        <w:rPr>
          <w:rFonts w:hint="eastAsia" w:ascii="宋体" w:hAnsi="Calibri" w:eastAsia="宋体" w:cs="Times New Roman"/>
          <w:sz w:val="24"/>
          <w:szCs w:val="24"/>
          <w:highlight w:val="none"/>
        </w:rPr>
        <w:t xml:space="preserve">广州开城联晟城市开发投资有限公司 </w:t>
      </w:r>
      <w:r>
        <w:rPr>
          <w:rFonts w:ascii="宋体" w:hAnsi="宋体" w:eastAsia="宋体" w:cs="宋体"/>
          <w:sz w:val="24"/>
          <w:szCs w:val="24"/>
          <w:highlight w:val="none"/>
        </w:rPr>
        <w:t xml:space="preserve">    </w:t>
      </w:r>
    </w:p>
    <w:p w14:paraId="4147DA17">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法定代表人：林富</w:t>
      </w:r>
      <w:r>
        <w:rPr>
          <w:rFonts w:ascii="宋体" w:hAnsi="宋体" w:eastAsia="宋体" w:cs="宋体"/>
          <w:sz w:val="24"/>
          <w:szCs w:val="24"/>
          <w:highlight w:val="none"/>
        </w:rPr>
        <w:t xml:space="preserve">   </w:t>
      </w:r>
    </w:p>
    <w:p w14:paraId="56D30FF4">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Calibri" w:eastAsia="宋体" w:cs="Times New Roman"/>
          <w:sz w:val="24"/>
          <w:szCs w:val="24"/>
          <w:highlight w:val="none"/>
        </w:rPr>
        <w:t xml:space="preserve">广州市黄埔区萝岗街开投润盈中心1号楼13楼 </w:t>
      </w:r>
      <w:r>
        <w:rPr>
          <w:rFonts w:ascii="宋体" w:hAnsi="宋体" w:eastAsia="宋体" w:cs="宋体"/>
          <w:sz w:val="24"/>
          <w:szCs w:val="24"/>
          <w:highlight w:val="none"/>
        </w:rPr>
        <w:t xml:space="preserve"> </w:t>
      </w:r>
    </w:p>
    <w:p w14:paraId="0B823807">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联系方式：</w:t>
      </w:r>
      <w:r>
        <w:rPr>
          <w:rFonts w:ascii="宋体" w:hAnsi="宋体" w:eastAsia="宋体" w:cs="宋体"/>
          <w:sz w:val="24"/>
          <w:szCs w:val="24"/>
          <w:highlight w:val="none"/>
        </w:rPr>
        <w:t xml:space="preserve">020-82109254    </w:t>
      </w:r>
    </w:p>
    <w:p w14:paraId="024455C9">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受托方（乙方）：</w:t>
      </w:r>
      <w:r>
        <w:rPr>
          <w:rFonts w:ascii="宋体" w:hAnsi="宋体" w:eastAsia="宋体" w:cs="宋体"/>
          <w:sz w:val="24"/>
          <w:szCs w:val="24"/>
          <w:highlight w:val="none"/>
        </w:rPr>
        <w:t xml:space="preserve">    </w:t>
      </w:r>
    </w:p>
    <w:p w14:paraId="4FED5012">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7D98807C">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p>
    <w:p w14:paraId="0BA64C3D">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联系方式：</w:t>
      </w:r>
    </w:p>
    <w:p w14:paraId="7E0F5E51">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甲方委托乙方承担广州市黄埔区云埔街火村社区莲潭经济合作社城中村改造项目（南湾村）改造方案与实施计划编制服务工作，并由甲方向乙方支付相应的技术服务报酬。根据《中华人民共和国民法典》《广州市城中村改造方案编制和报批工作指引》《城中村改造实施计划（模版）》等法律、法规与规范性文件，经双方协商一致，签订本合同，以资共同遵守。</w:t>
      </w:r>
    </w:p>
    <w:p w14:paraId="7B6CC8FC">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bookmarkStart w:id="424" w:name="_Toc20947"/>
      <w:r>
        <w:rPr>
          <w:rFonts w:hint="eastAsia" w:ascii="宋体" w:hAnsi="宋体" w:eastAsia="宋体" w:cs="宋体"/>
          <w:b/>
          <w:bCs/>
          <w:sz w:val="24"/>
          <w:szCs w:val="24"/>
          <w:highlight w:val="none"/>
        </w:rPr>
        <w:t>第一条 项目概况</w:t>
      </w:r>
      <w:bookmarkEnd w:id="424"/>
    </w:p>
    <w:p w14:paraId="0A117197">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 项目名称：广州市黄埔区云埔街火村社区莲潭经济合作社城中村改造项目（南湾村）改造方案与实施计划编制服务</w:t>
      </w:r>
    </w:p>
    <w:p w14:paraId="70E78681">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 项目地点：</w:t>
      </w:r>
      <w:r>
        <w:rPr>
          <w:rFonts w:hint="eastAsia" w:ascii="宋体" w:hAnsi="宋体" w:eastAsia="宋体" w:cs="宋体"/>
          <w:bCs/>
          <w:sz w:val="24"/>
          <w:szCs w:val="24"/>
          <w:highlight w:val="none"/>
        </w:rPr>
        <w:t>广州市黄埔区穗东街南湾社区，东至夏园村、南至西滘涌、西至隔墙路、北至中石化油库。</w:t>
      </w:r>
    </w:p>
    <w:p w14:paraId="3B29CF3F">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1.3 项目规模：综合考虑已拆待建的实际情况及周边可供应的集体、国有土地情况，以权属与行政村界作为底数，衔接城中村改造测量范围，衔接规划发展布局，改造范围约73.34公顷（范围具体以最终方案为准）。范围根据工作需要合理划定，需满足相关主管部门审批要求。</w:t>
      </w:r>
    </w:p>
    <w:p w14:paraId="33786AC4">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1.4 工作目的：把握党中央、国务院关于在超大特大城市积极稳步推进城中村改造的政策机遇，对广州市黄埔区云埔街火村社区莲潭经济合作社城中村改造项目（南湾村）按照“依法征收、净地出让”改造模式编制城中村改造方案和实施计划。</w:t>
      </w:r>
    </w:p>
    <w:p w14:paraId="17D8122C">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第二条 服务内容及要求</w:t>
      </w:r>
    </w:p>
    <w:p w14:paraId="066C5323">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 广州市黄埔区云埔街火村社区莲潭经济合作社城中村改造项目（南湾村）改造方案编制</w:t>
      </w:r>
    </w:p>
    <w:p w14:paraId="720ACE2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主要包括以下内容（最终以城中村改造相关政策要求为准）：</w:t>
      </w:r>
    </w:p>
    <w:p w14:paraId="59FC684D">
      <w:pPr>
        <w:numPr>
          <w:ilvl w:val="255"/>
          <w:numId w:val="0"/>
        </w:numPr>
        <w:adjustRightInd w:val="0"/>
        <w:snapToGrid w:val="0"/>
        <w:spacing w:line="360" w:lineRule="auto"/>
        <w:ind w:left="400" w:firstLine="19" w:firstLineChars="8"/>
        <w:rPr>
          <w:rFonts w:ascii="宋体" w:hAnsi="宋体" w:eastAsia="宋体" w:cs="宋体"/>
          <w:sz w:val="24"/>
          <w:szCs w:val="24"/>
          <w:highlight w:val="none"/>
        </w:rPr>
      </w:pPr>
      <w:r>
        <w:rPr>
          <w:rFonts w:hint="eastAsia" w:ascii="宋体" w:hAnsi="宋体" w:eastAsia="宋体" w:cs="宋体"/>
          <w:sz w:val="24"/>
          <w:szCs w:val="24"/>
          <w:highlight w:val="none"/>
        </w:rPr>
        <w:t>2.1.1区位和编制背景：</w:t>
      </w:r>
    </w:p>
    <w:p w14:paraId="5F8C3023">
      <w:p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2.1.1.1 简要概述编制本方案的背景、编制依据（说明城中村改造方案所依据法律、法规、政策，上位规划、技术规范等依据文件）、编制过程（方案委托、编制、征求意见、专家论证、公示等过程）等，说明城中村改造片区范围、四至及面积、区位，分析城中村改造片区与周边地区的功能关系、交通联系、空间关系等。</w:t>
      </w:r>
    </w:p>
    <w:p w14:paraId="585EF029">
      <w:p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2.1.1.2 结合城中村专项体检结果及改造意愿征询情况，阐述城中村改造的迫切性和必要性。说明项目纳入计划情况和相关规划情况。</w:t>
      </w:r>
    </w:p>
    <w:p w14:paraId="27606E42">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2.1.2 改造范围划定：以城中村改造范围为主，综合考虑道路、河流等自然要素及产权边界；综合考虑上位规划管控等因素，划定改造范围。</w:t>
      </w:r>
    </w:p>
    <w:p w14:paraId="77AF893B">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2.1.3 现状分析：人口及经济发展、土地权属、土地利用、公服市政基础设施、绿地景观、历史文化遗产摸查、树木摸查、留用地、飞地、产业发展、历史遗留问题等现状情况分析。</w:t>
      </w:r>
    </w:p>
    <w:p w14:paraId="6FDA8B51">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2.1.4 相关规划和计划：分析改造范围内国土空间总体规划、详细规划及其他相关专项规划等要求，对接城中村改造中长期建设计划、年度计划等要求。</w:t>
      </w:r>
    </w:p>
    <w:p w14:paraId="0094A23E">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2.1.5 改造方式和改造主体：明确城中村改造方式和改造主体。</w:t>
      </w:r>
    </w:p>
    <w:p w14:paraId="57C2AB96">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2.1.6 发展定位与目标：结合区域发展情况，提出城中村发展定位，明确城中村改造的目标。</w:t>
      </w:r>
    </w:p>
    <w:p w14:paraId="1AAA9996">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2.1.7 改造建设方案：明确拆迁规模、建设布局、复建安置、保障性住房、公共服务设施和基础设施、建筑废弃物再利用方案等内容；</w:t>
      </w:r>
    </w:p>
    <w:p w14:paraId="687E62D4">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2.1.8 土地整备与供应方案：明确土地征收、置换等整备方式的具体范围和实施路径，并明确复建安置住宅和物业、保障性住房、公共服务设施和市政基础设施等用地的土地供应方式。如相关审核部门对土地整备内容深度需深化至专章，需甲方另外聘请技术服务团队编制土地整备专章。</w:t>
      </w:r>
    </w:p>
    <w:p w14:paraId="2243BCB8">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2.1.9 历史文化和树木保护指引：改造范围涉及的历史文化街区、历史风貌区、历史文化名镇名村、传统村落、不可移动文物、历史建筑、传统风貌建筑等历史文化遗产保护措施和方案；以及改造范围古树名木及后续资源、大树保护措施和方案。（根据历史文化遗产保护评估报告和树木保护专章整理本章节相应内容）</w:t>
      </w:r>
    </w:p>
    <w:p w14:paraId="5CF1A4F8">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2.1.10 投资估算和资金筹措：①改造成本匡算，按相关规定和标准，逐项测算城中村改造成本；②改造收益测算，结合城中村改造项目周边土地及房地产市场情况、产业运营情况等，测算可产生收益；③资金平衡，根据改造成本、收益情况，做出经济平衡分析改造收益测算；④资金筹措，说明改造资金筹措方式。</w:t>
      </w:r>
    </w:p>
    <w:p w14:paraId="50664D6A">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2.1.11 项目实施计划：对征地拆迁、安置房、公建配套、市政配套和经济平衡等统筹分析研究，制定项目近期、中期、远期实施计划（含项目清单），明确各项目名称、主管部门、建设单位、建设时序、静态总投资和资金来源等，做好风险防控并制定保障措施。作为项目推进时序参考，具体以项目实际情况为准。</w:t>
      </w:r>
    </w:p>
    <w:p w14:paraId="02A25E8F">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2.1.12 综合效益：根据项目改造情况对社会、经济、文化、环境等方面进行预期效益分析。</w:t>
      </w:r>
    </w:p>
    <w:p w14:paraId="394C5FD1">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2.1.13 专题分析：包括社会稳定风险评估、产业发展评估报告、历史文化遗产保护评估报告、城市树木保护专章、交通影响评估、环境影响评价、海绵城市（洪涝安全评估）等内容。需甲方另外聘请技术服务团队编制前述专题。</w:t>
      </w:r>
    </w:p>
    <w:p w14:paraId="68AEDD8D">
      <w:p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2.2 广州市黄埔区云埔街火村社区莲潭经济合作社城中村改造项目（南湾村）实施计划编制</w:t>
      </w:r>
    </w:p>
    <w:p w14:paraId="3E6ADFFA">
      <w:p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主要包括以下内容（最终以城中村改造相关政策要求为准）：</w:t>
      </w:r>
    </w:p>
    <w:p w14:paraId="722E2DBF">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2.2.1 项目概况：描述项目工作背景、项目建设的必要性和可行性、项目建设基本要求、编制依据和实施原则等内容。阐述城中村改造的必要性，概述片区改造方案、资金平衡的可行性，说明项目工作目标、公益性要求、实施步骤等要求。</w:t>
      </w:r>
    </w:p>
    <w:p w14:paraId="393E12F8">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2.2.2 项目规划情况：基于相关部门编制的各类规划文件进行分析，简要介绍片区总体、市政配套（含市政设施、道路、绿化、河涌水系改造）、安置房与公建配套、征地拆迁和管线迁改方面的规划情况。</w:t>
      </w:r>
    </w:p>
    <w:p w14:paraId="2D6D4A45">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2.2.3 总体项目清单：按照“一次规划、总额控制、合理筛分、分期实施”原则，列明片区改造所涉及的所有项目，并给出总体项目清单，包括征地拆迁、管线迁改、安置房及公建配套、市政配套（含市政设施、道路、绿化、河涌水系改造）等。</w:t>
      </w:r>
    </w:p>
    <w:p w14:paraId="0516B527">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2.2.4 经济平衡测算：开展项目出让收益分析，根据规划方案，对出让地块指标、出让时序计划、出让收益进行综合说明，初步研判片区出让地块总体收益情况及分期出让收益。基于项目成本，给出征拆、管线迁改、安置房与公建配套、市政配套等四种项目类型的控制成本。说明风险防控及保障机制。</w:t>
      </w:r>
    </w:p>
    <w:p w14:paraId="1BC84F5E">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2.2.5 项目实施清单与计划：根据项目控制成本，说明项目筛分原则，编制项目近期、中期实施清单与计划和远期实施清单与计划（储备项目清单）。</w:t>
      </w:r>
    </w:p>
    <w:p w14:paraId="11987A00">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2.2.6 项目组团实施计划：依据详细规划，根据组团原则，结合近期、中期实施清单与计划以及工作的实际开展需要，给出不同组团的实施项目及对应的土地交储建议范围，制定项目组团实施计划。</w:t>
      </w:r>
    </w:p>
    <w:p w14:paraId="5CE160DE">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2.2.7 资金平衡计划：包括资金筹措、还本付息，土地出让建议等内容。针对近期、中期、远期实施清单与计划中的项目，分年度说明改造资金筹措方式，结合片区内土地交储时序建议制定还本付息计划，提出年度资金需求建议。</w:t>
      </w:r>
    </w:p>
    <w:p w14:paraId="49123DE9">
      <w:pPr>
        <w:numPr>
          <w:ilvl w:val="255"/>
          <w:numId w:val="0"/>
        </w:numPr>
        <w:adjustRightInd w:val="0"/>
        <w:snapToGrid w:val="0"/>
        <w:spacing w:line="360" w:lineRule="auto"/>
        <w:ind w:firstLine="398" w:firstLineChars="166"/>
        <w:rPr>
          <w:rFonts w:ascii="宋体" w:hAnsi="宋体" w:eastAsia="宋体" w:cs="宋体"/>
          <w:sz w:val="24"/>
          <w:szCs w:val="24"/>
          <w:highlight w:val="none"/>
        </w:rPr>
      </w:pPr>
      <w:r>
        <w:rPr>
          <w:rFonts w:hint="eastAsia" w:ascii="宋体" w:hAnsi="宋体" w:eastAsia="宋体" w:cs="宋体"/>
          <w:sz w:val="24"/>
          <w:szCs w:val="24"/>
          <w:highlight w:val="none"/>
        </w:rPr>
        <w:t>2.2.8 相关专项内容：本部分可直接引用《详细规划》或《城中村改造方案》中已编制完成（已由各职能部门审议通过）的相关内容。需另外聘请技术服务团队编制前述专题。</w:t>
      </w:r>
    </w:p>
    <w:p w14:paraId="4382A14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 工作成果</w:t>
      </w:r>
    </w:p>
    <w:p w14:paraId="0751A0E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 根据主管部门的具体审查要求，对工作内容进行成果编制并协助汇报、报批工作，负责改造方案与实施计划汇报、评审过程中所需规划图件。</w:t>
      </w:r>
    </w:p>
    <w:p w14:paraId="470D6E9B">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2.3.2 最终成果包括纸质版和电子版的文本及相关图件，其中：电子版文本文件采用pdf格式文件，图形文件采用jpg或png格式文件，具体以主管部门有关成果电子报批和管理的格式要求为准。</w:t>
      </w:r>
    </w:p>
    <w:p w14:paraId="2DBD695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2.3.3 改造方案与实施计划全本采用A4幅面，改造方案与实施计划图纸采用A3幅面，附于改造方案与实施计划全本之后合订为一册；最终成果确定，且甲方支付相应阶段款项后，乙方向甲方提交纸质版文本及电子光盘。</w:t>
      </w:r>
    </w:p>
    <w:p w14:paraId="28D979A0">
      <w:pPr>
        <w:adjustRightInd w:val="0"/>
        <w:snapToGrid w:val="0"/>
        <w:spacing w:line="480" w:lineRule="exact"/>
        <w:ind w:firstLine="480" w:firstLineChars="200"/>
        <w:rPr>
          <w:rFonts w:ascii="宋体" w:hAnsi="宋体" w:eastAsia="宋体" w:cs="宋体"/>
          <w:sz w:val="24"/>
          <w:szCs w:val="24"/>
          <w:highlight w:val="none"/>
        </w:rPr>
      </w:pPr>
      <w:r>
        <w:rPr>
          <w:rFonts w:ascii="宋体" w:hAnsi="宋体" w:eastAsia="宋体" w:cs="宋体"/>
          <w:sz w:val="24"/>
          <w:szCs w:val="24"/>
          <w:highlight w:val="none"/>
        </w:rPr>
        <w:t>2.3.4 若需补充实体模型、修建性详细规划、演示动画等，</w:t>
      </w:r>
      <w:r>
        <w:rPr>
          <w:rFonts w:hint="eastAsia" w:ascii="宋体" w:hAnsi="宋体" w:eastAsia="宋体" w:cs="宋体"/>
          <w:sz w:val="24"/>
          <w:szCs w:val="24"/>
          <w:highlight w:val="none"/>
        </w:rPr>
        <w:t>甲方</w:t>
      </w:r>
      <w:r>
        <w:rPr>
          <w:rFonts w:ascii="宋体" w:hAnsi="宋体" w:eastAsia="宋体" w:cs="宋体"/>
          <w:sz w:val="24"/>
          <w:szCs w:val="24"/>
          <w:highlight w:val="none"/>
        </w:rPr>
        <w:t>须单独另行委托具备相应资质的单位开展，由</w:t>
      </w:r>
      <w:r>
        <w:rPr>
          <w:rFonts w:hint="eastAsia" w:ascii="宋体" w:hAnsi="宋体" w:eastAsia="宋体" w:cs="宋体"/>
          <w:sz w:val="24"/>
          <w:szCs w:val="24"/>
          <w:highlight w:val="none"/>
        </w:rPr>
        <w:t>乙方</w:t>
      </w:r>
      <w:r>
        <w:rPr>
          <w:rFonts w:ascii="宋体" w:hAnsi="宋体" w:eastAsia="宋体" w:cs="宋体"/>
          <w:sz w:val="24"/>
          <w:szCs w:val="24"/>
          <w:highlight w:val="none"/>
        </w:rPr>
        <w:t>负责提供必要的技术资料。</w:t>
      </w:r>
    </w:p>
    <w:p w14:paraId="3C7ED9B0">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第三条 工作进度和技术要求</w:t>
      </w:r>
    </w:p>
    <w:p w14:paraId="569B88D4">
      <w:pPr>
        <w:adjustRightInd w:val="0"/>
        <w:snapToGrid w:val="0"/>
        <w:spacing w:line="480" w:lineRule="exact"/>
        <w:ind w:firstLine="480" w:firstLineChars="200"/>
        <w:rPr>
          <w:rFonts w:ascii="宋体" w:hAnsi="宋体" w:eastAsia="宋体" w:cs="宋体"/>
          <w:sz w:val="24"/>
          <w:szCs w:val="24"/>
          <w:highlight w:val="none"/>
        </w:rPr>
      </w:pPr>
      <w:bookmarkStart w:id="425" w:name="_Toc19586"/>
      <w:r>
        <w:rPr>
          <w:rFonts w:hint="eastAsia" w:ascii="宋体" w:hAnsi="宋体" w:eastAsia="宋体" w:cs="宋体"/>
          <w:sz w:val="24"/>
          <w:szCs w:val="24"/>
          <w:highlight w:val="none"/>
        </w:rPr>
        <w:t>3.1 工作进度</w:t>
      </w:r>
    </w:p>
    <w:p w14:paraId="03B36E9D">
      <w:pPr>
        <w:adjustRightInd w:val="0"/>
        <w:snapToGrid w:val="0"/>
        <w:spacing w:line="480" w:lineRule="exact"/>
        <w:ind w:right="-24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3.1.1 乙方需在本合同签订后30日内提供改造方案与实施计划初步成果，以上时间为乙方在该阶段实际技术工作所需最少时间，不包括过程中与相关部门及多方沟通协调、甲方内部审议阶段成果、行政审查、行政批复核发与征求相关部门意见等非技术工作所需时间。</w:t>
      </w:r>
    </w:p>
    <w:p w14:paraId="048DF942">
      <w:pPr>
        <w:adjustRightInd w:val="0"/>
        <w:snapToGrid w:val="0"/>
        <w:spacing w:line="480" w:lineRule="exact"/>
        <w:ind w:right="-24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3.1.2 甲方未能按时提供乙方所需的基础资料和信息，或未能按时提供本合同之外单独委托编制的内容成果，或未能按时向乙方反馈各阶段审查意见，或未能按约定期限内对阶段成果反馈书面意见，或因规划公示、会议排期等不可控行政审查影响项目进度，则后果由甲方承担，乙方完成工作任务时间顺延。</w:t>
      </w:r>
    </w:p>
    <w:p w14:paraId="7BFB992C">
      <w:pPr>
        <w:adjustRightInd w:val="0"/>
        <w:snapToGrid w:val="0"/>
        <w:spacing w:line="480" w:lineRule="exact"/>
        <w:ind w:right="-24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3.1.3 乙方应当在收到甲方或相关政府主管部门正式修改意见或专家意见后15个工作日内，完成改造方案与实施计划修改并交付甲方，逾期交付的应承担相应的违约责任。如遇到3.1.2中的相应情况，则乙方工作时间可以顺延。</w:t>
      </w:r>
    </w:p>
    <w:p w14:paraId="150131F8">
      <w:pPr>
        <w:adjustRightInd w:val="0"/>
        <w:snapToGrid w:val="0"/>
        <w:spacing w:line="480" w:lineRule="exact"/>
        <w:ind w:right="-242"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3.1.4 鉴于改造方案与实施计划可能采用的容缺审批或带条件审批模式，即便本合同项下的成果已获得相关批复，乙方仍需根据甲方通知及政府后续的具体需求，积极配合对成果进行相应的调整与优化，确保满足项目改造方案与实施计划调整优化需要。</w:t>
      </w:r>
    </w:p>
    <w:p w14:paraId="44D323E9">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3.1.5 本项目乙方为甲方提供改造方案与实施计划编制服务的服务期限自合同签订之日起3年。如该期限内未能完成本合同项下所有工作内容，则服务期限自动顺延，最多不超过4年。</w:t>
      </w:r>
    </w:p>
    <w:p w14:paraId="56B083BF">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 技术要求</w:t>
      </w:r>
    </w:p>
    <w:p w14:paraId="7CB7B3D0">
      <w:pPr>
        <w:numPr>
          <w:ilvl w:val="255"/>
          <w:numId w:val="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3.2.1 </w:t>
      </w:r>
      <w:r>
        <w:rPr>
          <w:rFonts w:hint="eastAsia" w:ascii="宋体" w:hAnsi="宋体" w:eastAsia="宋体" w:cs="宋体"/>
          <w:bCs/>
          <w:sz w:val="24"/>
          <w:szCs w:val="24"/>
          <w:highlight w:val="none"/>
        </w:rPr>
        <w:t>城中村改造方案成果参照《广州市城中村改造方案编制和报批工作指引》要求。城中村改造实施计划成果参照《城中村改造实施计划（模版）》要求。</w:t>
      </w:r>
    </w:p>
    <w:p w14:paraId="75E1E0AB">
      <w:pPr>
        <w:numPr>
          <w:ilvl w:val="255"/>
          <w:numId w:val="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3.2.2 改造方案与实施计划内容、深度必须符合《中华人民共和国土地管理法》《中华人民共和国城乡规划法》《广州市城中村改造条例》等现行国家和地方有关法律、法规以及相关规范中的有关规定要求。</w:t>
      </w:r>
    </w:p>
    <w:p w14:paraId="57D7CAEF">
      <w:pPr>
        <w:numPr>
          <w:ilvl w:val="255"/>
          <w:numId w:val="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3.2.3 规划内容、深度必须满足行政主管部门审查和审批的要求，成果电子文件制作标准与数据格式必须符合行政主管部门对于成果入库的相关技术规定要求，并能纳入行政主管部门数据平台。</w:t>
      </w:r>
    </w:p>
    <w:p w14:paraId="43DFFCD3">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第四条 技术服务费用</w:t>
      </w:r>
      <w:bookmarkEnd w:id="425"/>
    </w:p>
    <w:p w14:paraId="52F4EE4B">
      <w:pPr>
        <w:spacing w:line="360" w:lineRule="auto"/>
        <w:ind w:firstLine="480" w:firstLineChars="200"/>
        <w:rPr>
          <w:rFonts w:ascii="宋体" w:hAnsi="宋体" w:eastAsia="宋体" w:cs="宋体"/>
          <w:sz w:val="24"/>
          <w:szCs w:val="24"/>
          <w:highlight w:val="none"/>
        </w:rPr>
      </w:pPr>
      <w:bookmarkStart w:id="426" w:name="_Toc19053"/>
      <w:r>
        <w:rPr>
          <w:rFonts w:hint="eastAsia" w:ascii="宋体" w:hAnsi="宋体" w:eastAsia="宋体" w:cs="宋体"/>
          <w:sz w:val="24"/>
          <w:szCs w:val="24"/>
          <w:highlight w:val="none"/>
        </w:rPr>
        <w:t>4.1 合同总费用</w:t>
      </w:r>
    </w:p>
    <w:p w14:paraId="18084DC7">
      <w:pPr>
        <w:spacing w:line="360" w:lineRule="auto"/>
        <w:ind w:firstLine="480" w:firstLineChars="200"/>
        <w:rPr>
          <w:rFonts w:ascii="等线" w:hAnsi="等线" w:eastAsia="等线" w:cs="宋体"/>
          <w:color w:val="000000"/>
          <w:kern w:val="0"/>
          <w:sz w:val="22"/>
          <w:highlight w:val="none"/>
        </w:rPr>
      </w:pPr>
      <w:r>
        <w:rPr>
          <w:rFonts w:hint="eastAsia" w:ascii="宋体" w:hAnsi="宋体" w:eastAsia="宋体" w:cs="宋体"/>
          <w:sz w:val="24"/>
          <w:szCs w:val="24"/>
          <w:highlight w:val="none"/>
        </w:rPr>
        <w:t>本项目合同含税总额为人民币</w:t>
      </w:r>
      <w:bookmarkStart w:id="427" w:name="OLE_LINK2"/>
      <w:bookmarkStart w:id="428" w:name="OLE_LINK1"/>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    ）</w:t>
      </w:r>
      <w:bookmarkEnd w:id="427"/>
      <w:bookmarkEnd w:id="428"/>
      <w:r>
        <w:rPr>
          <w:rFonts w:hint="eastAsia" w:ascii="宋体" w:hAnsi="宋体" w:eastAsia="宋体" w:cs="宋体"/>
          <w:bCs/>
          <w:sz w:val="24"/>
          <w:szCs w:val="24"/>
          <w:highlight w:val="none"/>
        </w:rPr>
        <w:t>，税率</w:t>
      </w:r>
      <w:r>
        <w:rPr>
          <w:rFonts w:ascii="宋体" w:hAnsi="宋体" w:eastAsia="宋体" w:cs="宋体"/>
          <w:bCs/>
          <w:sz w:val="24"/>
          <w:szCs w:val="24"/>
          <w:highlight w:val="none"/>
        </w:rPr>
        <w:t>6%</w:t>
      </w:r>
      <w:r>
        <w:rPr>
          <w:rFonts w:hint="eastAsia" w:ascii="宋体" w:hAnsi="宋体" w:eastAsia="宋体" w:cs="宋体"/>
          <w:sz w:val="24"/>
          <w:szCs w:val="24"/>
          <w:highlight w:val="none"/>
        </w:rPr>
        <w:t>。其中，不含税金额为人民币大写</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，增值税金额为人民币大写</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。城中村改造方案编制费用为人民币大写</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，城中村改造实施计划编制费用为人民币大写</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4F18B360">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4.2 </w:t>
      </w:r>
      <w:r>
        <w:rPr>
          <w:rFonts w:hint="eastAsia" w:ascii="宋体" w:hAnsi="宋体" w:eastAsia="宋体" w:cs="宋体"/>
          <w:snapToGrid w:val="0"/>
          <w:kern w:val="0"/>
          <w:sz w:val="24"/>
          <w:szCs w:val="24"/>
          <w:highlight w:val="none"/>
        </w:rPr>
        <w:t>费用说明</w:t>
      </w:r>
      <w:r>
        <w:rPr>
          <w:rFonts w:hint="eastAsia" w:ascii="宋体" w:hAnsi="宋体" w:eastAsia="宋体" w:cs="宋体"/>
          <w:sz w:val="24"/>
          <w:szCs w:val="24"/>
          <w:highlight w:val="none"/>
        </w:rPr>
        <w:t>：</w:t>
      </w:r>
    </w:p>
    <w:p w14:paraId="34DFE8B2">
      <w:pPr>
        <w:adjustRightInd w:val="0"/>
        <w:snapToGrid w:val="0"/>
        <w:spacing w:line="480" w:lineRule="exact"/>
        <w:ind w:firstLine="480" w:firstLineChars="200"/>
        <w:rPr>
          <w:rFonts w:ascii="宋体" w:hAnsi="宋体" w:eastAsia="宋体" w:cs="宋体"/>
          <w:iCs/>
          <w:sz w:val="24"/>
          <w:szCs w:val="24"/>
          <w:highlight w:val="none"/>
        </w:rPr>
      </w:pPr>
      <w:r>
        <w:rPr>
          <w:rFonts w:hint="eastAsia" w:ascii="宋体" w:hAnsi="宋体" w:eastAsia="宋体" w:cs="宋体"/>
          <w:sz w:val="24"/>
          <w:szCs w:val="24"/>
          <w:highlight w:val="none"/>
        </w:rPr>
        <w:t>4.2.1 本费用含现场乙方人员劳务费、踏勘费、调研费、专家费、设计费、公证费、差旅费、器材设备费及合同约定的各阶段成果材料打印费等一切相关的含税价格，除本合同另有约定外，甲方不再向乙方支付任何费用。</w:t>
      </w:r>
    </w:p>
    <w:p w14:paraId="3428E0D0">
      <w:pPr>
        <w:adjustRightInd w:val="0"/>
        <w:snapToGrid w:val="0"/>
        <w:spacing w:line="480" w:lineRule="exact"/>
        <w:ind w:firstLine="480" w:firstLineChars="200"/>
        <w:rPr>
          <w:rFonts w:ascii="宋体" w:hAnsi="宋体" w:eastAsia="宋体" w:cs="宋体"/>
          <w:iCs/>
          <w:sz w:val="24"/>
          <w:szCs w:val="24"/>
          <w:highlight w:val="none"/>
        </w:rPr>
      </w:pPr>
      <w:r>
        <w:rPr>
          <w:rFonts w:hint="eastAsia" w:ascii="宋体" w:hAnsi="宋体" w:eastAsia="宋体" w:cs="宋体"/>
          <w:sz w:val="24"/>
          <w:szCs w:val="24"/>
          <w:highlight w:val="none"/>
        </w:rPr>
        <w:t>4.2.2 以上费用不包含以下工作内容：村用地与建筑勘测工作；建筑废弃物再利用方案；环境影响专题评估、地质灾害专题评估、文化遗产普查报告、安全风险评估及社会风险评估、土壤污染专项评估、市政承载力评估、交通影响评估、洪涝安全评估、产业发展评估报告、历史文化遗产保护评估报告、城市树木保护专章、城市设计等专项评估/篇章；高成本展示成果，如沙盘模型、三维动画、多媒体文件、修规深度总平图等。本合同第2.1条中土地整备相关编制内容，如相关审核部门对土地整备内容深度需深化至专章，甲方需另外聘请技术服务团队编制土地整备专章。若相关行政主管部门后续要求本项目单独开展其他专项评估编制工作，如乙方具备相应资质的情况下，可另行协商增加技术服务费用并签订补充协议。</w:t>
      </w:r>
    </w:p>
    <w:p w14:paraId="5A99C6B1">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4.2.3 合同履行过程中，若国家设计规范或相关政策等编制依据发生修订与变更等非乙方自身原因而导致工作成果内容和深度有重大变更而需重做或修改时，甲方应书面通知乙方，结合审批机关意见书（如有），由甲、乙双方根据实际修改工作量协商另订补充协议。修改内容包括但不限于改造范围，基础数据，城中村改造政策外的建设量、成本核算标准、用地方案。</w:t>
      </w:r>
    </w:p>
    <w:p w14:paraId="61E59891">
      <w:pPr>
        <w:adjustRightInd w:val="0"/>
        <w:snapToGrid w:val="0"/>
        <w:spacing w:line="480" w:lineRule="exact"/>
        <w:ind w:firstLine="480" w:firstLineChars="200"/>
        <w:rPr>
          <w:rFonts w:ascii="宋体" w:hAnsi="宋体" w:eastAsia="宋体" w:cs="宋体"/>
          <w:sz w:val="24"/>
          <w:szCs w:val="24"/>
          <w:highlight w:val="none"/>
        </w:rPr>
      </w:pPr>
      <w:r>
        <w:rPr>
          <w:rFonts w:ascii="宋体" w:hAnsi="宋体" w:eastAsia="宋体" w:cs="宋体"/>
          <w:sz w:val="24"/>
          <w:szCs w:val="24"/>
          <w:highlight w:val="none"/>
        </w:rPr>
        <w:t xml:space="preserve">4.2.4 </w:t>
      </w:r>
      <w:r>
        <w:rPr>
          <w:rFonts w:hint="eastAsia" w:ascii="宋体" w:hAnsi="宋体" w:eastAsia="宋体" w:cs="宋体"/>
          <w:sz w:val="24"/>
          <w:szCs w:val="24"/>
          <w:highlight w:val="none"/>
        </w:rPr>
        <w:t>如本合同项下技术服务费用需财政主管部门审核，则最终结算价以财政主管部门</w:t>
      </w:r>
      <w:r>
        <w:rPr>
          <w:rFonts w:ascii="宋体" w:hAnsi="宋体" w:eastAsia="宋体" w:cs="宋体"/>
          <w:sz w:val="24"/>
          <w:szCs w:val="24"/>
          <w:highlight w:val="none"/>
        </w:rPr>
        <w:t>或其授权委托单位</w:t>
      </w:r>
      <w:r>
        <w:rPr>
          <w:rFonts w:hint="eastAsia" w:ascii="宋体" w:hAnsi="宋体" w:eastAsia="宋体" w:cs="宋体"/>
          <w:sz w:val="24"/>
          <w:szCs w:val="24"/>
          <w:highlight w:val="none"/>
        </w:rPr>
        <w:t>审定金额为准。如遇</w:t>
      </w:r>
      <w:r>
        <w:rPr>
          <w:rFonts w:ascii="宋体" w:hAnsi="宋体" w:eastAsia="宋体" w:cs="宋体"/>
          <w:sz w:val="24"/>
          <w:szCs w:val="24"/>
          <w:highlight w:val="none"/>
        </w:rPr>
        <w:t>政府</w:t>
      </w:r>
      <w:r>
        <w:rPr>
          <w:rFonts w:hint="eastAsia" w:ascii="宋体" w:hAnsi="宋体" w:eastAsia="宋体" w:cs="宋体"/>
          <w:sz w:val="24"/>
          <w:szCs w:val="24"/>
          <w:highlight w:val="none"/>
        </w:rPr>
        <w:t>审计部门对本合同的结算审定金额少于甲方已支付的本合同费用金额，甲方有权据实要求乙方在一定时限内返还该部分款项。</w:t>
      </w:r>
    </w:p>
    <w:p w14:paraId="690E39EF">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第五条 付款节点及方式</w:t>
      </w:r>
      <w:bookmarkEnd w:id="426"/>
    </w:p>
    <w:p w14:paraId="31A66C3F">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5.1 合同费用根据工作内容及进度分期支付，具体付款方式如下：</w:t>
      </w:r>
    </w:p>
    <w:tbl>
      <w:tblPr>
        <w:tblStyle w:val="28"/>
        <w:tblW w:w="51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157"/>
        <w:gridCol w:w="3995"/>
        <w:gridCol w:w="800"/>
        <w:gridCol w:w="2197"/>
      </w:tblGrid>
      <w:tr w14:paraId="773A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blHeader/>
          <w:jc w:val="center"/>
        </w:trPr>
        <w:tc>
          <w:tcPr>
            <w:tcW w:w="759" w:type="pct"/>
            <w:shd w:val="clear" w:color="auto" w:fill="D9D9D9"/>
            <w:vAlign w:val="center"/>
          </w:tcPr>
          <w:p w14:paraId="2A75956B">
            <w:pPr>
              <w:adjustRightInd w:val="0"/>
              <w:snapToGrid w:val="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工作内容</w:t>
            </w:r>
          </w:p>
        </w:tc>
        <w:tc>
          <w:tcPr>
            <w:tcW w:w="602" w:type="pct"/>
            <w:shd w:val="clear" w:color="auto" w:fill="D9D9D9"/>
            <w:vAlign w:val="center"/>
          </w:tcPr>
          <w:p w14:paraId="205B9F50">
            <w:pPr>
              <w:adjustRightInd w:val="0"/>
              <w:snapToGrid w:val="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付费次序</w:t>
            </w:r>
          </w:p>
        </w:tc>
        <w:tc>
          <w:tcPr>
            <w:tcW w:w="2078" w:type="pct"/>
            <w:shd w:val="clear" w:color="auto" w:fill="D9D9D9"/>
            <w:vAlign w:val="center"/>
          </w:tcPr>
          <w:p w14:paraId="72E5C1E9">
            <w:pPr>
              <w:adjustRightInd w:val="0"/>
              <w:snapToGrid w:val="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付费时间</w:t>
            </w:r>
          </w:p>
        </w:tc>
        <w:tc>
          <w:tcPr>
            <w:tcW w:w="416" w:type="pct"/>
            <w:shd w:val="clear" w:color="auto" w:fill="D9D9D9"/>
            <w:vAlign w:val="center"/>
          </w:tcPr>
          <w:p w14:paraId="57D67EBA">
            <w:pPr>
              <w:adjustRightInd w:val="0"/>
              <w:snapToGrid w:val="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付费</w:t>
            </w:r>
          </w:p>
          <w:p w14:paraId="7D5125B5">
            <w:pPr>
              <w:adjustRightInd w:val="0"/>
              <w:snapToGrid w:val="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比例</w:t>
            </w:r>
          </w:p>
        </w:tc>
        <w:tc>
          <w:tcPr>
            <w:tcW w:w="1143" w:type="pct"/>
            <w:shd w:val="clear" w:color="auto" w:fill="D9D9D9"/>
            <w:vAlign w:val="center"/>
          </w:tcPr>
          <w:p w14:paraId="085A3359">
            <w:pPr>
              <w:adjustRightInd w:val="0"/>
              <w:snapToGrid w:val="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付款金额</w:t>
            </w:r>
          </w:p>
          <w:p w14:paraId="7A80084A">
            <w:pPr>
              <w:adjustRightInd w:val="0"/>
              <w:snapToGrid w:val="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（元）</w:t>
            </w:r>
          </w:p>
        </w:tc>
      </w:tr>
      <w:tr w14:paraId="7851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59" w:type="pct"/>
            <w:vMerge w:val="restart"/>
            <w:vAlign w:val="center"/>
          </w:tcPr>
          <w:p w14:paraId="11275105">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广州市黄埔区云埔街火村社区莲潭经济合作社城中村改造项目（南湾村）改造方案与实施计划编制服务</w:t>
            </w:r>
          </w:p>
        </w:tc>
        <w:tc>
          <w:tcPr>
            <w:tcW w:w="602" w:type="pct"/>
            <w:vAlign w:val="center"/>
          </w:tcPr>
          <w:p w14:paraId="1928A2A0">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第一次付费</w:t>
            </w:r>
          </w:p>
        </w:tc>
        <w:tc>
          <w:tcPr>
            <w:tcW w:w="2078" w:type="pct"/>
            <w:vAlign w:val="center"/>
          </w:tcPr>
          <w:p w14:paraId="0D4DBFCD">
            <w:pPr>
              <w:adjustRightInd w:val="0"/>
              <w:snapToGrid w:val="0"/>
              <w:spacing w:line="480" w:lineRule="exact"/>
              <w:rPr>
                <w:rFonts w:ascii="宋体" w:hAnsi="宋体" w:eastAsia="宋体" w:cs="宋体"/>
                <w:sz w:val="24"/>
                <w:szCs w:val="24"/>
                <w:highlight w:val="none"/>
              </w:rPr>
            </w:pPr>
            <w:r>
              <w:rPr>
                <w:rFonts w:hint="eastAsia" w:ascii="宋体" w:hAnsi="宋体" w:eastAsia="宋体" w:cs="宋体"/>
                <w:sz w:val="24"/>
                <w:szCs w:val="24"/>
                <w:highlight w:val="none"/>
              </w:rPr>
              <w:t>合同签订后，乙方提交全套改造方案、实施计划成果至甲方后，乙方向甲方提交请款材料(含发票)，经甲方审核无误之日起30个工作之日内。</w:t>
            </w:r>
          </w:p>
        </w:tc>
        <w:tc>
          <w:tcPr>
            <w:tcW w:w="416" w:type="pct"/>
            <w:vAlign w:val="center"/>
          </w:tcPr>
          <w:p w14:paraId="675C0AEB">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30%</w:t>
            </w:r>
          </w:p>
        </w:tc>
        <w:tc>
          <w:tcPr>
            <w:tcW w:w="1143" w:type="pct"/>
            <w:vAlign w:val="center"/>
          </w:tcPr>
          <w:p w14:paraId="4FA42000">
            <w:pPr>
              <w:adjustRightInd w:val="0"/>
              <w:snapToGrid w:val="0"/>
              <w:spacing w:line="480" w:lineRule="exact"/>
              <w:jc w:val="center"/>
              <w:rPr>
                <w:rFonts w:ascii="宋体" w:hAnsi="宋体" w:eastAsia="宋体" w:cs="宋体"/>
                <w:sz w:val="24"/>
                <w:szCs w:val="24"/>
                <w:highlight w:val="none"/>
              </w:rPr>
            </w:pPr>
          </w:p>
        </w:tc>
      </w:tr>
      <w:tr w14:paraId="4067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59" w:type="pct"/>
            <w:vMerge w:val="continue"/>
          </w:tcPr>
          <w:p w14:paraId="1EED8A03">
            <w:pPr>
              <w:adjustRightInd w:val="0"/>
              <w:snapToGrid w:val="0"/>
              <w:spacing w:line="480" w:lineRule="exact"/>
              <w:jc w:val="center"/>
              <w:rPr>
                <w:rFonts w:ascii="宋体" w:hAnsi="宋体" w:eastAsia="宋体" w:cs="宋体"/>
                <w:sz w:val="24"/>
                <w:szCs w:val="24"/>
                <w:highlight w:val="none"/>
              </w:rPr>
            </w:pPr>
          </w:p>
        </w:tc>
        <w:tc>
          <w:tcPr>
            <w:tcW w:w="602" w:type="pct"/>
            <w:vAlign w:val="center"/>
          </w:tcPr>
          <w:p w14:paraId="172F75FD">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第二次付费</w:t>
            </w:r>
          </w:p>
        </w:tc>
        <w:tc>
          <w:tcPr>
            <w:tcW w:w="2078" w:type="pct"/>
            <w:vAlign w:val="center"/>
          </w:tcPr>
          <w:p w14:paraId="32060B29">
            <w:pPr>
              <w:adjustRightInd w:val="0"/>
              <w:snapToGrid w:val="0"/>
              <w:spacing w:line="480" w:lineRule="exact"/>
              <w:rPr>
                <w:rFonts w:ascii="宋体" w:hAnsi="宋体" w:eastAsia="宋体" w:cs="宋体"/>
                <w:sz w:val="24"/>
                <w:szCs w:val="24"/>
                <w:highlight w:val="none"/>
              </w:rPr>
            </w:pPr>
            <w:r>
              <w:rPr>
                <w:rFonts w:hint="eastAsia" w:ascii="宋体" w:hAnsi="宋体" w:eastAsia="宋体" w:cs="宋体"/>
                <w:sz w:val="24"/>
                <w:szCs w:val="24"/>
                <w:highlight w:val="none"/>
              </w:rPr>
              <w:t>改造方案、实施计划报批成果提交政府部门审核后，乙方向甲方提交请款材料(含发票)，经甲方审核无误之日起30个工作日内。</w:t>
            </w:r>
          </w:p>
        </w:tc>
        <w:tc>
          <w:tcPr>
            <w:tcW w:w="416" w:type="pct"/>
            <w:vAlign w:val="center"/>
          </w:tcPr>
          <w:p w14:paraId="26123AEC">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20%</w:t>
            </w:r>
          </w:p>
        </w:tc>
        <w:tc>
          <w:tcPr>
            <w:tcW w:w="1143" w:type="pct"/>
            <w:vAlign w:val="center"/>
          </w:tcPr>
          <w:p w14:paraId="7E340374">
            <w:pPr>
              <w:adjustRightInd w:val="0"/>
              <w:snapToGrid w:val="0"/>
              <w:spacing w:line="480" w:lineRule="exact"/>
              <w:jc w:val="center"/>
              <w:rPr>
                <w:rFonts w:ascii="宋体" w:hAnsi="宋体" w:eastAsia="宋体" w:cs="宋体"/>
                <w:sz w:val="24"/>
                <w:szCs w:val="24"/>
                <w:highlight w:val="none"/>
              </w:rPr>
            </w:pPr>
          </w:p>
        </w:tc>
      </w:tr>
      <w:tr w14:paraId="578E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59" w:type="pct"/>
            <w:vMerge w:val="continue"/>
          </w:tcPr>
          <w:p w14:paraId="40EA8800">
            <w:pPr>
              <w:adjustRightInd w:val="0"/>
              <w:snapToGrid w:val="0"/>
              <w:spacing w:line="480" w:lineRule="exact"/>
              <w:jc w:val="center"/>
              <w:rPr>
                <w:rFonts w:ascii="宋体" w:hAnsi="宋体" w:eastAsia="宋体" w:cs="宋体"/>
                <w:sz w:val="24"/>
                <w:szCs w:val="24"/>
                <w:highlight w:val="none"/>
              </w:rPr>
            </w:pPr>
          </w:p>
        </w:tc>
        <w:tc>
          <w:tcPr>
            <w:tcW w:w="602" w:type="pct"/>
            <w:vAlign w:val="center"/>
          </w:tcPr>
          <w:p w14:paraId="363D32DA">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第三次付费</w:t>
            </w:r>
          </w:p>
        </w:tc>
        <w:tc>
          <w:tcPr>
            <w:tcW w:w="2078" w:type="pct"/>
            <w:vAlign w:val="center"/>
          </w:tcPr>
          <w:p w14:paraId="4674B014">
            <w:pPr>
              <w:adjustRightInd w:val="0"/>
              <w:snapToGrid w:val="0"/>
              <w:spacing w:line="480" w:lineRule="exact"/>
              <w:rPr>
                <w:rFonts w:ascii="宋体" w:hAnsi="宋体" w:eastAsia="宋体" w:cs="宋体"/>
                <w:sz w:val="24"/>
                <w:szCs w:val="24"/>
                <w:highlight w:val="none"/>
              </w:rPr>
            </w:pPr>
            <w:r>
              <w:rPr>
                <w:rFonts w:hint="eastAsia" w:ascii="宋体" w:hAnsi="宋体" w:eastAsia="宋体" w:cs="宋体"/>
                <w:sz w:val="24"/>
                <w:szCs w:val="24"/>
                <w:highlight w:val="none"/>
              </w:rPr>
              <w:t>改造方案、实施计划获得批复后，乙方向甲方提交请款材料(含发票)，经甲方审核无误之日起30个工作日内。</w:t>
            </w:r>
          </w:p>
        </w:tc>
        <w:tc>
          <w:tcPr>
            <w:tcW w:w="416" w:type="pct"/>
            <w:vAlign w:val="center"/>
          </w:tcPr>
          <w:p w14:paraId="5E17CF36">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30%</w:t>
            </w:r>
          </w:p>
        </w:tc>
        <w:tc>
          <w:tcPr>
            <w:tcW w:w="1143" w:type="pct"/>
            <w:vAlign w:val="center"/>
          </w:tcPr>
          <w:p w14:paraId="7F67E7B3">
            <w:pPr>
              <w:adjustRightInd w:val="0"/>
              <w:snapToGrid w:val="0"/>
              <w:spacing w:line="480" w:lineRule="exact"/>
              <w:jc w:val="center"/>
              <w:rPr>
                <w:rFonts w:ascii="宋体" w:hAnsi="宋体" w:eastAsia="宋体" w:cs="宋体"/>
                <w:sz w:val="24"/>
                <w:szCs w:val="24"/>
                <w:highlight w:val="none"/>
              </w:rPr>
            </w:pPr>
          </w:p>
        </w:tc>
      </w:tr>
      <w:tr w14:paraId="4F83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59" w:type="pct"/>
            <w:vMerge w:val="continue"/>
          </w:tcPr>
          <w:p w14:paraId="4566D2F6">
            <w:pPr>
              <w:adjustRightInd w:val="0"/>
              <w:snapToGrid w:val="0"/>
              <w:spacing w:line="480" w:lineRule="exact"/>
              <w:jc w:val="center"/>
              <w:rPr>
                <w:rFonts w:ascii="宋体" w:hAnsi="宋体" w:eastAsia="宋体" w:cs="宋体"/>
                <w:sz w:val="24"/>
                <w:szCs w:val="24"/>
                <w:highlight w:val="none"/>
              </w:rPr>
            </w:pPr>
          </w:p>
        </w:tc>
        <w:tc>
          <w:tcPr>
            <w:tcW w:w="602" w:type="pct"/>
            <w:vAlign w:val="center"/>
          </w:tcPr>
          <w:p w14:paraId="5B85C926">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第四次付费</w:t>
            </w:r>
          </w:p>
        </w:tc>
        <w:tc>
          <w:tcPr>
            <w:tcW w:w="2078" w:type="pct"/>
            <w:vAlign w:val="center"/>
          </w:tcPr>
          <w:p w14:paraId="048126FD">
            <w:pPr>
              <w:adjustRightInd w:val="0"/>
              <w:snapToGrid w:val="0"/>
              <w:spacing w:line="480" w:lineRule="exact"/>
              <w:rPr>
                <w:rFonts w:ascii="宋体" w:hAnsi="宋体" w:eastAsia="宋体" w:cs="宋体"/>
                <w:sz w:val="24"/>
                <w:szCs w:val="24"/>
                <w:highlight w:val="none"/>
              </w:rPr>
            </w:pPr>
            <w:r>
              <w:rPr>
                <w:rFonts w:hint="eastAsia" w:ascii="宋体" w:hAnsi="宋体" w:eastAsia="宋体" w:cs="宋体"/>
                <w:sz w:val="24"/>
                <w:szCs w:val="24"/>
                <w:highlight w:val="none"/>
              </w:rPr>
              <w:t>乙方根据政府相关要求配合甲方对改造方案、实施计划成果完成批复后修改完善，且合同项下技术服务费用由财政主管部门审定确认，审定金额高于甲方已付费用的，乙方向甲方提交请款材料(含发票)，经甲方审核无误之日起30 个工作日内以审定金额结算支付。</w:t>
            </w:r>
          </w:p>
        </w:tc>
        <w:tc>
          <w:tcPr>
            <w:tcW w:w="416" w:type="pct"/>
            <w:vAlign w:val="center"/>
          </w:tcPr>
          <w:p w14:paraId="5279C478">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20%</w:t>
            </w:r>
          </w:p>
        </w:tc>
        <w:tc>
          <w:tcPr>
            <w:tcW w:w="1143" w:type="pct"/>
            <w:vAlign w:val="center"/>
          </w:tcPr>
          <w:p w14:paraId="2DD1FAD0">
            <w:pPr>
              <w:adjustRightInd w:val="0"/>
              <w:snapToGrid w:val="0"/>
              <w:spacing w:line="480" w:lineRule="exact"/>
              <w:jc w:val="center"/>
              <w:rPr>
                <w:rFonts w:ascii="宋体" w:hAnsi="宋体" w:eastAsia="宋体" w:cs="宋体"/>
                <w:sz w:val="24"/>
                <w:szCs w:val="24"/>
                <w:highlight w:val="none"/>
              </w:rPr>
            </w:pPr>
          </w:p>
        </w:tc>
      </w:tr>
      <w:tr w14:paraId="79B2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9" w:type="pct"/>
            <w:vMerge w:val="continue"/>
          </w:tcPr>
          <w:p w14:paraId="20C9C0C1">
            <w:pPr>
              <w:adjustRightInd w:val="0"/>
              <w:snapToGrid w:val="0"/>
              <w:spacing w:line="480" w:lineRule="exact"/>
              <w:jc w:val="center"/>
              <w:rPr>
                <w:rFonts w:ascii="宋体" w:hAnsi="宋体" w:eastAsia="宋体" w:cs="宋体"/>
                <w:sz w:val="24"/>
                <w:szCs w:val="24"/>
                <w:highlight w:val="none"/>
              </w:rPr>
            </w:pPr>
          </w:p>
        </w:tc>
        <w:tc>
          <w:tcPr>
            <w:tcW w:w="2680" w:type="pct"/>
            <w:gridSpan w:val="2"/>
            <w:vAlign w:val="center"/>
          </w:tcPr>
          <w:p w14:paraId="515E4FC7">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合计</w:t>
            </w:r>
          </w:p>
        </w:tc>
        <w:tc>
          <w:tcPr>
            <w:tcW w:w="416" w:type="pct"/>
            <w:vAlign w:val="center"/>
          </w:tcPr>
          <w:p w14:paraId="2D3E998C">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100%</w:t>
            </w:r>
          </w:p>
        </w:tc>
        <w:tc>
          <w:tcPr>
            <w:tcW w:w="1143" w:type="pct"/>
            <w:vAlign w:val="center"/>
          </w:tcPr>
          <w:p w14:paraId="5FBAA3EC">
            <w:pPr>
              <w:adjustRightInd w:val="0"/>
              <w:snapToGrid w:val="0"/>
              <w:spacing w:line="480" w:lineRule="exact"/>
              <w:jc w:val="center"/>
              <w:rPr>
                <w:rFonts w:ascii="宋体" w:hAnsi="宋体" w:eastAsia="宋体" w:cs="宋体"/>
                <w:sz w:val="24"/>
                <w:szCs w:val="24"/>
                <w:highlight w:val="none"/>
              </w:rPr>
            </w:pPr>
          </w:p>
        </w:tc>
      </w:tr>
    </w:tbl>
    <w:p w14:paraId="3466504E">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若付款节点与实际改造方案、实施计划申报和审批流程不一致，甲方、乙方双方可根据实际改造方案、实施计划申报和审批流程协商调整付款节点并签订补充协议。</w:t>
      </w:r>
    </w:p>
    <w:p w14:paraId="5C387D69">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根据本合同第</w:t>
      </w:r>
      <w:r>
        <w:rPr>
          <w:rFonts w:ascii="宋体" w:hAnsi="宋体" w:eastAsia="宋体" w:cs="宋体"/>
          <w:sz w:val="24"/>
          <w:szCs w:val="24"/>
          <w:highlight w:val="none"/>
        </w:rPr>
        <w:t>4.2.4的约定，如本合同项下技术服务费用需财政主管部门审核，则本合同最终结算价以财政主管部门或其授权委托单位审定金额为准。在第四次付费时间达成且审核结算完毕后，甲乙双方以审定金额进行最终的结算支付。如甲方已支付金额高于最终审定金额的，乙方应在收到甲方通知后15日内返还甲方。乙方退还甲方所支付的高于最终审定金额部分的款项前，甲方应配合乙方完善相关财务手续。</w:t>
      </w:r>
    </w:p>
    <w:p w14:paraId="1095ADF0">
      <w:pPr>
        <w:adjustRightInd w:val="0"/>
        <w:snapToGrid w:val="0"/>
        <w:spacing w:line="480" w:lineRule="exact"/>
        <w:ind w:firstLine="480" w:firstLineChars="200"/>
        <w:rPr>
          <w:rFonts w:ascii="宋体" w:hAnsi="宋体" w:eastAsia="宋体" w:cs="宋体"/>
          <w:sz w:val="24"/>
          <w:szCs w:val="24"/>
          <w:highlight w:val="none"/>
        </w:rPr>
      </w:pPr>
      <w:bookmarkStart w:id="429" w:name="_Toc5887"/>
      <w:r>
        <w:rPr>
          <w:rFonts w:hint="eastAsia" w:ascii="宋体" w:hAnsi="宋体" w:eastAsia="宋体" w:cs="宋体"/>
          <w:sz w:val="24"/>
          <w:szCs w:val="24"/>
          <w:highlight w:val="none"/>
        </w:rPr>
        <w:t>5.2 本合同服务费用总额为含税价，每笔费用支付前乙方向甲方提供请款资料及等额增值税专用发票（乙方提供发票不代表实际收到相关费用，以银行实际到账为准），如不符合国家税收法律规范或请款资料不符合上述要求的，由此引起迟延支付责任由乙方承担。</w:t>
      </w:r>
    </w:p>
    <w:p w14:paraId="5526E020">
      <w:pPr>
        <w:adjustRightInd w:val="0"/>
        <w:snapToGrid w:val="0"/>
        <w:spacing w:line="480" w:lineRule="exact"/>
        <w:ind w:firstLine="480" w:firstLineChars="200"/>
        <w:rPr>
          <w:rFonts w:ascii="宋体" w:hAnsi="宋体" w:eastAsia="宋体" w:cs="宋体"/>
          <w:sz w:val="24"/>
          <w:szCs w:val="24"/>
          <w:highlight w:val="none"/>
        </w:rPr>
      </w:pPr>
      <w:bookmarkStart w:id="430" w:name="_Toc30666"/>
      <w:r>
        <w:rPr>
          <w:rFonts w:hint="eastAsia" w:ascii="宋体" w:hAnsi="宋体" w:eastAsia="宋体" w:cs="宋体"/>
          <w:sz w:val="24"/>
          <w:szCs w:val="24"/>
          <w:highlight w:val="none"/>
        </w:rPr>
        <w:t>5.3 甲方开票信息</w:t>
      </w:r>
    </w:p>
    <w:p w14:paraId="365DF77A">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单位抬头：广州开城联晟城市开发投资有限公司</w:t>
      </w:r>
      <w:r>
        <w:rPr>
          <w:rFonts w:ascii="宋体" w:hAnsi="宋体" w:eastAsia="宋体" w:cs="宋体"/>
          <w:sz w:val="24"/>
          <w:szCs w:val="24"/>
          <w:highlight w:val="none"/>
        </w:rPr>
        <w:t xml:space="preserve">     </w:t>
      </w:r>
    </w:p>
    <w:p w14:paraId="788F28EB">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纳税识别号：</w:t>
      </w:r>
      <w:r>
        <w:rPr>
          <w:rFonts w:ascii="宋体" w:hAnsi="宋体" w:eastAsia="宋体" w:cs="宋体"/>
          <w:sz w:val="24"/>
          <w:szCs w:val="24"/>
          <w:highlight w:val="none"/>
        </w:rPr>
        <w:t xml:space="preserve">91440112MAE0AEG233 </w:t>
      </w:r>
    </w:p>
    <w:p w14:paraId="17F51B2D">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地址：广州市黄埔区萝岗街开投润盈中心1号楼13楼</w:t>
      </w:r>
    </w:p>
    <w:p w14:paraId="0696A9BC">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电话：</w:t>
      </w:r>
      <w:r>
        <w:rPr>
          <w:rFonts w:ascii="宋体" w:hAnsi="宋体" w:eastAsia="宋体" w:cs="宋体"/>
          <w:sz w:val="24"/>
          <w:szCs w:val="24"/>
          <w:highlight w:val="none"/>
        </w:rPr>
        <w:t>020-82109254</w:t>
      </w:r>
    </w:p>
    <w:p w14:paraId="48E5CA28">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开户银行：中国工商银行股份有限公司广州知识城支行</w:t>
      </w:r>
    </w:p>
    <w:p w14:paraId="6F531D1F">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开户银行账号：</w:t>
      </w:r>
      <w:r>
        <w:rPr>
          <w:rFonts w:ascii="宋体" w:hAnsi="宋体" w:eastAsia="宋体" w:cs="宋体"/>
          <w:sz w:val="24"/>
          <w:szCs w:val="24"/>
          <w:highlight w:val="none"/>
        </w:rPr>
        <w:t>3602184209100191595</w:t>
      </w:r>
    </w:p>
    <w:p w14:paraId="25E47736">
      <w:pPr>
        <w:adjustRightInd w:val="0"/>
        <w:snapToGrid w:val="0"/>
        <w:spacing w:line="480" w:lineRule="exact"/>
        <w:ind w:firstLine="480" w:firstLineChars="200"/>
        <w:rPr>
          <w:rFonts w:ascii="宋体" w:hAnsi="宋体" w:eastAsia="宋体" w:cs="宋体"/>
          <w:sz w:val="24"/>
          <w:szCs w:val="24"/>
          <w:highlight w:val="none"/>
        </w:rPr>
      </w:pPr>
      <w:r>
        <w:rPr>
          <w:rFonts w:ascii="宋体" w:hAnsi="宋体" w:eastAsia="宋体" w:cs="宋体"/>
          <w:sz w:val="24"/>
          <w:szCs w:val="24"/>
          <w:highlight w:val="none"/>
        </w:rPr>
        <w:t xml:space="preserve">5.4 </w:t>
      </w:r>
      <w:r>
        <w:rPr>
          <w:rFonts w:hint="eastAsia" w:ascii="宋体" w:hAnsi="宋体" w:eastAsia="宋体" w:cs="宋体"/>
          <w:sz w:val="24"/>
          <w:szCs w:val="24"/>
          <w:highlight w:val="none"/>
        </w:rPr>
        <w:t>乙方开户银行名称和收款账号</w:t>
      </w:r>
    </w:p>
    <w:p w14:paraId="22E9E4F2">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单位名称：</w:t>
      </w:r>
    </w:p>
    <w:p w14:paraId="390A6B4C">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开户银行：</w:t>
      </w:r>
    </w:p>
    <w:p w14:paraId="2844CD1A">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开户银行账号：</w:t>
      </w:r>
    </w:p>
    <w:p w14:paraId="615FD775">
      <w:pPr>
        <w:adjustRightInd w:val="0"/>
        <w:snapToGrid w:val="0"/>
        <w:spacing w:line="480" w:lineRule="exact"/>
        <w:ind w:firstLine="480" w:firstLineChars="200"/>
        <w:rPr>
          <w:rFonts w:ascii="宋体" w:hAnsi="宋体" w:eastAsia="宋体" w:cs="宋体"/>
          <w:sz w:val="24"/>
          <w:szCs w:val="24"/>
          <w:highlight w:val="none"/>
        </w:rPr>
      </w:pPr>
      <w:bookmarkStart w:id="431" w:name="_Toc15185"/>
      <w:r>
        <w:rPr>
          <w:rFonts w:hint="eastAsia" w:ascii="宋体" w:hAnsi="宋体" w:eastAsia="宋体" w:cs="宋体"/>
          <w:sz w:val="24"/>
          <w:szCs w:val="24"/>
          <w:highlight w:val="none"/>
        </w:rPr>
        <w:t>5.5 甲方如有更改本合同第5.3条开票信息，甲方需在开票前5个工作日书面通知乙方；乙方如有更改本合同第5.4条收款账号信息，应在信息变更完成之日起5个工作日书面通知甲方。</w:t>
      </w:r>
      <w:bookmarkEnd w:id="431"/>
    </w:p>
    <w:p w14:paraId="325D6DD8">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5.6 如发生需要乙方开具红字发票的情形，甲方须按税务局发票管理规定，向乙方提供重新开具发票文件，乙方收到甲方重新开具发票文件后10个工作日内向甲方重新开具等额增值税专用发票，开票后5个工作日内送达给甲方签收。因非乙方原因发生开具红字发票情形或甲方遗失发票造成项目延误等后果的，乙方无需承担责任。</w:t>
      </w:r>
      <w:bookmarkEnd w:id="430"/>
    </w:p>
    <w:p w14:paraId="52E77122">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第六条 甲方职责</w:t>
      </w:r>
      <w:bookmarkEnd w:id="429"/>
    </w:p>
    <w:p w14:paraId="25F317C3">
      <w:pPr>
        <w:adjustRightInd w:val="0"/>
        <w:snapToGrid w:val="0"/>
        <w:spacing w:line="480" w:lineRule="exact"/>
        <w:ind w:firstLine="480" w:firstLineChars="200"/>
        <w:rPr>
          <w:rFonts w:ascii="宋体" w:hAnsi="宋体" w:eastAsia="宋体" w:cs="宋体"/>
          <w:sz w:val="24"/>
          <w:szCs w:val="24"/>
          <w:highlight w:val="none"/>
        </w:rPr>
      </w:pPr>
      <w:bookmarkStart w:id="432" w:name="_Toc29402"/>
      <w:r>
        <w:rPr>
          <w:rFonts w:hint="eastAsia" w:ascii="宋体" w:hAnsi="宋体" w:eastAsia="宋体" w:cs="宋体"/>
          <w:sz w:val="24"/>
          <w:szCs w:val="24"/>
          <w:highlight w:val="none"/>
        </w:rPr>
        <w:t>6.1 甲方应在本合同签订之日起10个工作日内向乙方提供以下资料，由甲方提供的技术成果需符合相关行政主管部门技术要求，甲方应对所提供的资料完整性、合法性、正确性及时效性负责。</w:t>
      </w:r>
    </w:p>
    <w:p w14:paraId="66A9DDAD">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6.1.1 技术任务书；</w:t>
      </w:r>
    </w:p>
    <w:p w14:paraId="472EBFD0">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6.1.2 经相关部门同意认可的，且符合国家、省、市相关城市更新技术要求的基础数据成果；</w:t>
      </w:r>
    </w:p>
    <w:p w14:paraId="0934069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6.1.3 与本项目相关的其他资料。</w:t>
      </w:r>
    </w:p>
    <w:p w14:paraId="6FDD6437">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6.2 甲方应及时组织本项目各阶段成果相关评审会议，并出具书面评审意见。</w:t>
      </w:r>
    </w:p>
    <w:p w14:paraId="67CD6AA3">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6.3 甲方应协助乙方开展本项目调研、回访等工作。</w:t>
      </w:r>
    </w:p>
    <w:p w14:paraId="58F48A2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6.4 甲方应保护乙方的所有文件资料、数据、计算机软件和专利技术等，除因本项目及与本项目工作需要使用外，未经乙方同意，甲方对乙方交付的设计资料和文件不得擅自修改、转让。</w:t>
      </w:r>
    </w:p>
    <w:p w14:paraId="077FCEEB">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6.5 按照合同约定按时足额向乙方支付技术服务费用。</w:t>
      </w:r>
    </w:p>
    <w:p w14:paraId="034E489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6.6 甲方不得要求乙方违反国家、省、市、区有关法规、规范、规程和标准进行编制工作。</w:t>
      </w:r>
    </w:p>
    <w:p w14:paraId="60F93618">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第七条 乙方职责</w:t>
      </w:r>
      <w:bookmarkEnd w:id="432"/>
    </w:p>
    <w:p w14:paraId="0265E48F">
      <w:pPr>
        <w:adjustRightInd w:val="0"/>
        <w:snapToGrid w:val="0"/>
        <w:spacing w:line="480" w:lineRule="exact"/>
        <w:ind w:firstLine="480" w:firstLineChars="200"/>
        <w:rPr>
          <w:rFonts w:ascii="宋体" w:hAnsi="宋体" w:eastAsia="宋体" w:cs="宋体"/>
          <w:sz w:val="24"/>
          <w:szCs w:val="24"/>
          <w:highlight w:val="none"/>
        </w:rPr>
      </w:pPr>
      <w:bookmarkStart w:id="433" w:name="_Toc11666"/>
      <w:r>
        <w:rPr>
          <w:rFonts w:hint="eastAsia" w:ascii="宋体" w:hAnsi="宋体" w:eastAsia="宋体" w:cs="宋体"/>
          <w:sz w:val="24"/>
          <w:szCs w:val="24"/>
          <w:highlight w:val="none"/>
        </w:rPr>
        <w:t>7.1 根据甲方提供的有关资料、改造方案与实施计划编制服务要求，并依照现行的国家和地方有关法律、法规以及相关规范的技术要求，按双方拟定的工期进度，按时、保质、保量提供改造方案与实施计划成果及文件资料。</w:t>
      </w:r>
    </w:p>
    <w:p w14:paraId="6293EB3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7.2 协助甲方开展本改造方案与实施计划方案编制服务项目的送审工作。</w:t>
      </w:r>
    </w:p>
    <w:p w14:paraId="733BD9AB">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7.3 乙方为本次工作技术服务方，主要负责相关技术成果编制、成果汇总编制、统筹协调各专项单位等工作，但不含专项评估和城市设计的编制工作。</w:t>
      </w:r>
    </w:p>
    <w:p w14:paraId="01340228">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7.4 负责向甲方对本改造方案与实施计划方案编制服务项目范围内的相关技术交底。</w:t>
      </w:r>
    </w:p>
    <w:p w14:paraId="6AFEEB1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7.5 根据项目主管部门的审查结论，负责对各阶段技术成果作不超出原定委托范围和内容的必要调整和补充，确保改造方案与实施计划内容、深度必须符合主管部门的有关要求。</w:t>
      </w:r>
    </w:p>
    <w:p w14:paraId="054DE853">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7.6 负责派员出席行政主管部门的审查会议等沟通、汇报会议，提供审查和验收所必需的汇报资料，负责改造方案与实施计划介绍等工作。</w:t>
      </w:r>
    </w:p>
    <w:p w14:paraId="2FC9831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7.7 乙方对技术图纸资料及文件出现的遗漏或错误负责修改或补充。</w:t>
      </w:r>
    </w:p>
    <w:p w14:paraId="5BBC4CA6">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7.8 未经甲方同意，不得向第三方泄露、转让甲方提供的相关技术经济资料、以及在编制工作过程中接触到、了解到与甲方、本项目有关的资料。如发生以上情况，乙方应承担法律责任。</w:t>
      </w:r>
    </w:p>
    <w:p w14:paraId="5EA3523A">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7.9 最终成果经甲方确认且甲方向乙方支付完毕本合同项下所有费用后，乙方应向甲方对本项目工作范围内的相关技术交底，其中提交电子数据成果的文本正文要求采用pdf格式，图纸采用jpg或png格式。</w:t>
      </w:r>
    </w:p>
    <w:p w14:paraId="0CA9AB52">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7.10 本项目不允许合同转包，可允许合同分包。乙方如需分包，须事先获得甲方（发包人）的书面同意，且仅可将项目中非主要、非关键性内容进行专业分包。乙方应对分包单位及其工作实施全面的管理、监督、协调与指导，确保分包单位严格按照主合同及分包合同的约定履行义务，遵守相关法律法规、技术规范和标准。乙方须对分包单位的工作质量、安全生产、工作进度、人员管理及履约行为承担直接的、首要的管理责任。同时，乙方对分包部分的质量、安全及进度向甲方（发包人）承担连带责任。</w:t>
      </w:r>
    </w:p>
    <w:p w14:paraId="00678A0E">
      <w:pPr>
        <w:adjustRightInd w:val="0"/>
        <w:snapToGrid w:val="0"/>
        <w:spacing w:line="480" w:lineRule="exact"/>
        <w:ind w:firstLine="480" w:firstLineChars="200"/>
        <w:rPr>
          <w:rFonts w:ascii="宋体" w:hAnsi="宋体" w:eastAsia="宋体" w:cs="宋体"/>
          <w:sz w:val="24"/>
          <w:szCs w:val="24"/>
          <w:highlight w:val="none"/>
        </w:rPr>
      </w:pPr>
      <w:r>
        <w:rPr>
          <w:rFonts w:ascii="宋体" w:hAnsi="宋体" w:eastAsia="宋体" w:cs="宋体"/>
          <w:sz w:val="24"/>
          <w:szCs w:val="24"/>
          <w:highlight w:val="none"/>
        </w:rPr>
        <w:t xml:space="preserve">7.11 </w:t>
      </w:r>
      <w:r>
        <w:rPr>
          <w:rFonts w:hint="eastAsia" w:ascii="宋体" w:hAnsi="宋体" w:eastAsia="宋体" w:cs="宋体"/>
          <w:sz w:val="24"/>
          <w:szCs w:val="24"/>
          <w:highlight w:val="none"/>
        </w:rPr>
        <w:t>乙方所提供的所有成果，应当根据甲方及有关政府部门的要求进行修改、调整，直至符合政府对项目改造方案与实施计划调整优化的要求，甲方无需另行向乙方支付费用。</w:t>
      </w:r>
    </w:p>
    <w:p w14:paraId="4080A6A2">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第八条 违约责任</w:t>
      </w:r>
      <w:bookmarkEnd w:id="433"/>
    </w:p>
    <w:p w14:paraId="58B5123C">
      <w:pPr>
        <w:adjustRightInd w:val="0"/>
        <w:snapToGrid w:val="0"/>
        <w:spacing w:line="480" w:lineRule="exact"/>
        <w:ind w:firstLine="480" w:firstLineChars="200"/>
        <w:rPr>
          <w:rFonts w:ascii="宋体" w:hAnsi="宋体" w:eastAsia="宋体" w:cs="宋体"/>
          <w:sz w:val="24"/>
          <w:szCs w:val="24"/>
          <w:highlight w:val="none"/>
        </w:rPr>
      </w:pPr>
      <w:bookmarkStart w:id="434" w:name="_Toc16962"/>
      <w:r>
        <w:rPr>
          <w:rFonts w:hint="eastAsia" w:ascii="宋体" w:hAnsi="宋体" w:eastAsia="宋体" w:cs="宋体"/>
          <w:sz w:val="24"/>
          <w:szCs w:val="24"/>
          <w:highlight w:val="none"/>
        </w:rPr>
        <w:t>8.1</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由于乙方自身原因，</w:t>
      </w:r>
      <w:bookmarkStart w:id="435" w:name="_Hlk148114836"/>
      <w:r>
        <w:rPr>
          <w:rFonts w:hint="eastAsia" w:ascii="宋体" w:hAnsi="宋体" w:eastAsia="宋体" w:cs="宋体"/>
          <w:sz w:val="24"/>
          <w:szCs w:val="24"/>
          <w:highlight w:val="none"/>
        </w:rPr>
        <w:t>延误了技术成果文件交付时间的，每延误一日应向甲方支付该阶段应付服务费用的万分之二作为违约金</w:t>
      </w:r>
      <w:bookmarkEnd w:id="435"/>
      <w:r>
        <w:rPr>
          <w:rFonts w:hint="eastAsia" w:ascii="宋体" w:hAnsi="宋体" w:eastAsia="宋体" w:cs="宋体"/>
          <w:sz w:val="24"/>
          <w:szCs w:val="24"/>
          <w:highlight w:val="none"/>
        </w:rPr>
        <w:t>。逾期超过30日的，甲方有权解除合同，并要求乙方退还已支付服务费用。</w:t>
      </w:r>
    </w:p>
    <w:p w14:paraId="7721E7D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8.2</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乙方未在甲方要求的合理期限内完成修改、调整的，每延误一日应向甲方支付该阶段应付服务费用的万分之二作为违约金。逾期超过30日的，甲方有权解除合同，并要求乙方退还已支付服务费用。</w:t>
      </w:r>
    </w:p>
    <w:p w14:paraId="39906491">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8.3</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若乙方提交的技术成果文件不符合规范要求，乙方应及时整改，如整改后仍不符合规范要求的，甲方有权解除本合同（不承担违约责任），并按照要求乙方支付相当于本合同金额20%的违约金，不足弥补甲方损失的，乙方还应补足。</w:t>
      </w:r>
    </w:p>
    <w:p w14:paraId="79055463">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8.4</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在合同履行期间，因甲方原因要求终止或解除本合同的，双方根据乙方已完成的工作量结算费用。</w:t>
      </w:r>
    </w:p>
    <w:p w14:paraId="6FDC027C">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8.5在合同履行期间，乙方要求单方解除或终止本合同的，甲方有权要求乙方退还全部已支付费用，并要求乙方支付相当于本合同金额20%的违约金。</w:t>
      </w:r>
    </w:p>
    <w:p w14:paraId="2BC5DDD1">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8.6 双方约定在任何情况下，乙方向甲方支付的违约金、赔偿金累计不超过乙方已收到的本合同服务费用；甲方向乙方支付的违约金、赔偿金累计不超过本合同总金额的【20%】。</w:t>
      </w:r>
    </w:p>
    <w:p w14:paraId="777CDDB4">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cs="宋体"/>
          <w:sz w:val="24"/>
          <w:highlight w:val="none"/>
        </w:rPr>
        <w:t>8.7 未经甲方书面同意，乙方不得将本合同编制工作分包，如乙方私自转包或不经甲方同意分包的，甲方有权解除本合同，要求乙方退还甲方已经支付的费用并向甲方支付支付相当于本合同金额20%的违约金。</w:t>
      </w:r>
    </w:p>
    <w:p w14:paraId="2A176CE3">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第九条 商业秘密和知识产权</w:t>
      </w:r>
      <w:bookmarkEnd w:id="434"/>
    </w:p>
    <w:p w14:paraId="16B17737">
      <w:pPr>
        <w:adjustRightInd w:val="0"/>
        <w:snapToGrid w:val="0"/>
        <w:spacing w:line="480" w:lineRule="exact"/>
        <w:ind w:firstLine="480" w:firstLineChars="200"/>
        <w:rPr>
          <w:rFonts w:ascii="宋体" w:hAnsi="宋体" w:eastAsia="宋体" w:cs="宋体"/>
          <w:sz w:val="24"/>
          <w:szCs w:val="24"/>
          <w:highlight w:val="none"/>
        </w:rPr>
      </w:pPr>
      <w:bookmarkStart w:id="436" w:name="_Toc26268"/>
      <w:bookmarkStart w:id="437" w:name="_Toc31661"/>
      <w:r>
        <w:rPr>
          <w:rFonts w:hint="eastAsia" w:ascii="宋体" w:hAnsi="宋体" w:eastAsia="宋体" w:cs="宋体"/>
          <w:sz w:val="24"/>
          <w:szCs w:val="24"/>
          <w:highlight w:val="none"/>
        </w:rPr>
        <w:t>9.1 商业秘密</w:t>
      </w:r>
      <w:bookmarkEnd w:id="436"/>
    </w:p>
    <w:p w14:paraId="096B016A">
      <w:pPr>
        <w:adjustRightInd w:val="0"/>
        <w:snapToGrid w:val="0"/>
        <w:spacing w:line="480" w:lineRule="exact"/>
        <w:ind w:firstLine="480" w:firstLineChars="200"/>
        <w:rPr>
          <w:rFonts w:ascii="宋体" w:hAnsi="宋体" w:eastAsia="宋体" w:cs="宋体"/>
          <w:sz w:val="24"/>
          <w:szCs w:val="24"/>
          <w:highlight w:val="none"/>
        </w:rPr>
      </w:pPr>
      <w:bookmarkStart w:id="438" w:name="_Toc32639"/>
      <w:r>
        <w:rPr>
          <w:rFonts w:hint="eastAsia" w:ascii="宋体" w:hAnsi="宋体" w:eastAsia="宋体" w:cs="宋体"/>
          <w:sz w:val="24"/>
          <w:szCs w:val="24"/>
          <w:highlight w:val="none"/>
        </w:rPr>
        <w:t>9.1.1 商业秘密是指不为公众知悉，能为权利人带来经济利益、具有实用性的技术信息和经营信息。</w:t>
      </w:r>
      <w:bookmarkEnd w:id="438"/>
    </w:p>
    <w:p w14:paraId="147A346B">
      <w:pPr>
        <w:adjustRightInd w:val="0"/>
        <w:snapToGrid w:val="0"/>
        <w:spacing w:line="480" w:lineRule="exact"/>
        <w:ind w:firstLine="480" w:firstLineChars="200"/>
        <w:rPr>
          <w:rFonts w:ascii="宋体" w:hAnsi="宋体" w:eastAsia="宋体" w:cs="宋体"/>
          <w:sz w:val="24"/>
          <w:szCs w:val="24"/>
          <w:highlight w:val="none"/>
        </w:rPr>
      </w:pPr>
      <w:bookmarkStart w:id="439" w:name="_Toc23404"/>
      <w:r>
        <w:rPr>
          <w:rFonts w:hint="eastAsia" w:ascii="宋体" w:hAnsi="宋体" w:eastAsia="宋体" w:cs="宋体"/>
          <w:sz w:val="24"/>
          <w:szCs w:val="24"/>
          <w:highlight w:val="none"/>
        </w:rPr>
        <w:t>9.1.2 本合同各方均应严格保护其合同相对方及相关方的商业秘密，未经相关方书面同意，不得披露、使用或者允许他人使用。</w:t>
      </w:r>
      <w:bookmarkEnd w:id="439"/>
    </w:p>
    <w:p w14:paraId="4A5C3990">
      <w:pPr>
        <w:adjustRightInd w:val="0"/>
        <w:snapToGrid w:val="0"/>
        <w:spacing w:line="480" w:lineRule="exact"/>
        <w:ind w:firstLine="480" w:firstLineChars="200"/>
        <w:rPr>
          <w:rFonts w:ascii="宋体" w:hAnsi="宋体" w:eastAsia="宋体" w:cs="宋体"/>
          <w:sz w:val="24"/>
          <w:szCs w:val="24"/>
          <w:highlight w:val="none"/>
        </w:rPr>
      </w:pPr>
      <w:bookmarkStart w:id="440" w:name="_Toc27283"/>
      <w:r>
        <w:rPr>
          <w:rFonts w:hint="eastAsia" w:ascii="宋体" w:hAnsi="宋体" w:eastAsia="宋体" w:cs="宋体"/>
          <w:sz w:val="24"/>
          <w:szCs w:val="24"/>
          <w:highlight w:val="none"/>
        </w:rPr>
        <w:t>9.1.3 掌握合同相对方及相关方商业秘密的本合同各方应采取必要措施将其他方商业秘密仅披露给有必要知悉的其工作人员、代理人及/或专业顾问，并确保上述人员遵守本合同项下的保密义务。</w:t>
      </w:r>
      <w:bookmarkEnd w:id="440"/>
    </w:p>
    <w:p w14:paraId="31C4AE4C">
      <w:pPr>
        <w:adjustRightInd w:val="0"/>
        <w:snapToGrid w:val="0"/>
        <w:spacing w:line="480" w:lineRule="exact"/>
        <w:ind w:firstLine="480" w:firstLineChars="200"/>
        <w:rPr>
          <w:rFonts w:ascii="宋体" w:hAnsi="宋体" w:eastAsia="宋体" w:cs="宋体"/>
          <w:sz w:val="24"/>
          <w:szCs w:val="24"/>
          <w:highlight w:val="none"/>
        </w:rPr>
      </w:pPr>
      <w:bookmarkStart w:id="441" w:name="_Toc20548"/>
      <w:r>
        <w:rPr>
          <w:rFonts w:hint="eastAsia" w:ascii="宋体" w:hAnsi="宋体" w:eastAsia="宋体" w:cs="宋体"/>
          <w:sz w:val="24"/>
          <w:szCs w:val="24"/>
          <w:highlight w:val="none"/>
        </w:rPr>
        <w:t>9.1.4 本合同解除或者终止时，掌握相关方商业秘密的本合同各方应将相关方提交的载有商业秘密的信息资料（包括原件及复印件）归还相关方，并从任何有关记忆装置中删除相关方的商业秘密，并且不得继续使用。</w:t>
      </w:r>
      <w:bookmarkEnd w:id="441"/>
    </w:p>
    <w:p w14:paraId="5B0CC83D">
      <w:pPr>
        <w:adjustRightInd w:val="0"/>
        <w:snapToGrid w:val="0"/>
        <w:spacing w:line="480" w:lineRule="exact"/>
        <w:ind w:firstLine="480" w:firstLineChars="200"/>
        <w:rPr>
          <w:rFonts w:ascii="宋体" w:hAnsi="宋体" w:eastAsia="宋体" w:cs="宋体"/>
          <w:sz w:val="24"/>
          <w:szCs w:val="24"/>
          <w:highlight w:val="none"/>
        </w:rPr>
      </w:pPr>
      <w:bookmarkStart w:id="442" w:name="_Toc12787"/>
      <w:r>
        <w:rPr>
          <w:rFonts w:hint="eastAsia" w:ascii="宋体" w:hAnsi="宋体" w:eastAsia="宋体" w:cs="宋体"/>
          <w:sz w:val="24"/>
          <w:szCs w:val="24"/>
          <w:highlight w:val="none"/>
        </w:rPr>
        <w:t>9.1.5 违反保密义务的本合同任何一方，应承担由此产生的一切法律责任并赔偿因此造成对方的一切经济损失。</w:t>
      </w:r>
      <w:bookmarkEnd w:id="442"/>
    </w:p>
    <w:p w14:paraId="20519577">
      <w:pPr>
        <w:adjustRightInd w:val="0"/>
        <w:snapToGrid w:val="0"/>
        <w:spacing w:line="480" w:lineRule="exact"/>
        <w:ind w:firstLine="480" w:firstLineChars="200"/>
        <w:rPr>
          <w:rFonts w:ascii="宋体" w:hAnsi="宋体" w:eastAsia="宋体" w:cs="宋体"/>
          <w:sz w:val="24"/>
          <w:szCs w:val="24"/>
          <w:highlight w:val="none"/>
        </w:rPr>
      </w:pPr>
      <w:bookmarkStart w:id="443" w:name="_Toc12308"/>
      <w:r>
        <w:rPr>
          <w:rFonts w:hint="eastAsia" w:ascii="宋体" w:hAnsi="宋体" w:eastAsia="宋体" w:cs="宋体"/>
          <w:sz w:val="24"/>
          <w:szCs w:val="24"/>
          <w:highlight w:val="none"/>
        </w:rPr>
        <w:t>9.1.6 不论本合同是否变更、解除或终止，本合同关于保守商业秘密的条款将持续有效。</w:t>
      </w:r>
      <w:bookmarkEnd w:id="443"/>
    </w:p>
    <w:p w14:paraId="165576CC">
      <w:pPr>
        <w:adjustRightInd w:val="0"/>
        <w:snapToGrid w:val="0"/>
        <w:spacing w:line="480" w:lineRule="exact"/>
        <w:ind w:firstLine="480" w:firstLineChars="200"/>
        <w:rPr>
          <w:rFonts w:ascii="宋体" w:hAnsi="宋体" w:eastAsia="宋体" w:cs="宋体"/>
          <w:sz w:val="24"/>
          <w:szCs w:val="24"/>
          <w:highlight w:val="none"/>
        </w:rPr>
      </w:pPr>
      <w:bookmarkStart w:id="444" w:name="_Toc31188"/>
      <w:r>
        <w:rPr>
          <w:rFonts w:hint="eastAsia" w:ascii="宋体" w:hAnsi="宋体" w:eastAsia="宋体" w:cs="宋体"/>
          <w:sz w:val="24"/>
          <w:szCs w:val="24"/>
          <w:highlight w:val="none"/>
        </w:rPr>
        <w:t>9.2 知识产权</w:t>
      </w:r>
      <w:bookmarkEnd w:id="444"/>
    </w:p>
    <w:p w14:paraId="6F429CB5">
      <w:pPr>
        <w:adjustRightInd w:val="0"/>
        <w:snapToGrid w:val="0"/>
        <w:spacing w:line="480" w:lineRule="exact"/>
        <w:ind w:firstLine="480" w:firstLineChars="200"/>
        <w:rPr>
          <w:rFonts w:ascii="宋体" w:hAnsi="宋体" w:eastAsia="宋体" w:cs="宋体"/>
          <w:sz w:val="24"/>
          <w:szCs w:val="24"/>
          <w:highlight w:val="none"/>
        </w:rPr>
      </w:pPr>
      <w:bookmarkStart w:id="445" w:name="_Toc1824"/>
      <w:r>
        <w:rPr>
          <w:rFonts w:hint="eastAsia" w:ascii="宋体" w:hAnsi="宋体" w:eastAsia="宋体" w:cs="宋体"/>
          <w:sz w:val="24"/>
          <w:szCs w:val="24"/>
          <w:highlight w:val="none"/>
        </w:rPr>
        <w:t>9.2.1</w:t>
      </w:r>
      <w:bookmarkEnd w:id="445"/>
      <w:r>
        <w:rPr>
          <w:rFonts w:hint="eastAsia" w:ascii="宋体" w:hAnsi="宋体" w:eastAsia="宋体" w:cs="宋体"/>
          <w:sz w:val="24"/>
          <w:szCs w:val="24"/>
          <w:highlight w:val="none"/>
        </w:rPr>
        <w:t xml:space="preserve"> 甲方在足额支付本合同所有费用后，乙方提交的有关本合同约定的工作成果的知识产权归甲方所有（署名权除外）。乙方享有本项目成果的署名权，乙方可以设计人/作者的名义在学术研究领域发表、申报职称、评奖、出版、内部交流等。</w:t>
      </w:r>
    </w:p>
    <w:p w14:paraId="615493F4">
      <w:pPr>
        <w:adjustRightInd w:val="0"/>
        <w:snapToGrid w:val="0"/>
        <w:spacing w:line="480" w:lineRule="exact"/>
        <w:ind w:firstLine="480" w:firstLineChars="200"/>
        <w:rPr>
          <w:rFonts w:ascii="宋体" w:hAnsi="宋体" w:eastAsia="宋体" w:cs="宋体"/>
          <w:sz w:val="24"/>
          <w:szCs w:val="24"/>
          <w:highlight w:val="none"/>
        </w:rPr>
      </w:pPr>
      <w:bookmarkStart w:id="446" w:name="_Toc15044"/>
      <w:r>
        <w:rPr>
          <w:rFonts w:hint="eastAsia" w:ascii="宋体" w:hAnsi="宋体" w:eastAsia="宋体" w:cs="宋体"/>
          <w:sz w:val="24"/>
          <w:szCs w:val="24"/>
          <w:highlight w:val="none"/>
        </w:rPr>
        <w:t>9.2.2 乙方承诺提交的成果不得有侵犯本合同以外第三方任何合法权益，包括但不限于知识产权的情形，甲方因使用乙方提交的成果被第三人指控侵权、提出异议或权利主张的，乙方应当积极协助解决，并应赔偿因此给甲方造成的损失</w:t>
      </w:r>
      <w:bookmarkEnd w:id="446"/>
      <w:r>
        <w:rPr>
          <w:rFonts w:hint="eastAsia" w:ascii="宋体" w:hAnsi="宋体" w:eastAsia="宋体" w:cs="宋体"/>
          <w:sz w:val="24"/>
          <w:szCs w:val="24"/>
          <w:highlight w:val="none"/>
        </w:rPr>
        <w:t>，赔偿金额累计不超过乙方已收到的本合同服务费用。</w:t>
      </w:r>
    </w:p>
    <w:p w14:paraId="2C22491B">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第十条 争议解决</w:t>
      </w:r>
      <w:bookmarkEnd w:id="437"/>
    </w:p>
    <w:p w14:paraId="25757265">
      <w:pPr>
        <w:adjustRightInd w:val="0"/>
        <w:snapToGrid w:val="0"/>
        <w:spacing w:line="480" w:lineRule="exact"/>
        <w:ind w:firstLine="480" w:firstLineChars="200"/>
        <w:rPr>
          <w:rFonts w:ascii="宋体" w:hAnsi="宋体" w:eastAsia="宋体" w:cs="宋体"/>
          <w:sz w:val="24"/>
          <w:szCs w:val="24"/>
          <w:highlight w:val="none"/>
        </w:rPr>
      </w:pPr>
      <w:bookmarkStart w:id="447" w:name="_Toc6691"/>
      <w:r>
        <w:rPr>
          <w:rFonts w:hint="eastAsia" w:ascii="宋体" w:hAnsi="宋体" w:eastAsia="宋体" w:cs="宋体"/>
          <w:sz w:val="24"/>
          <w:szCs w:val="24"/>
          <w:highlight w:val="none"/>
        </w:rPr>
        <w:t>10.1</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本合同在履行过程中发生纠纷，应友好协商解决。协商不成的，任何一方均可向甲方所在地有管辖权的人民法院提起诉讼。</w:t>
      </w:r>
    </w:p>
    <w:p w14:paraId="35F82EF6">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10.2 任何一方违约，守约方除可要求对方承担本合同约定的违约责任外，还可要求违约方承担守约方因追究违约责任所支付的一切费用，包括但不限于直接损失、间接损失、仲裁费用、诉讼费用、律师费、公证费、执行费、评估费、拍卖费、鉴定费、保全费、保全担保费、保全保险费等。</w:t>
      </w:r>
    </w:p>
    <w:p w14:paraId="1CCCAB89">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第十一条 合同的解除和变更</w:t>
      </w:r>
      <w:bookmarkEnd w:id="447"/>
    </w:p>
    <w:p w14:paraId="06F5AAE5">
      <w:pPr>
        <w:adjustRightInd w:val="0"/>
        <w:snapToGrid w:val="0"/>
        <w:spacing w:line="480" w:lineRule="exact"/>
        <w:ind w:firstLine="480" w:firstLineChars="200"/>
        <w:rPr>
          <w:rFonts w:ascii="宋体" w:hAnsi="宋体" w:eastAsia="宋体" w:cs="宋体"/>
          <w:sz w:val="24"/>
          <w:szCs w:val="24"/>
          <w:highlight w:val="none"/>
        </w:rPr>
      </w:pPr>
      <w:bookmarkStart w:id="448" w:name="_Toc32034"/>
      <w:r>
        <w:rPr>
          <w:rFonts w:hint="eastAsia" w:ascii="宋体" w:hAnsi="宋体" w:eastAsia="宋体" w:cs="宋体"/>
          <w:sz w:val="24"/>
          <w:szCs w:val="24"/>
          <w:highlight w:val="none"/>
        </w:rPr>
        <w:t>11.1 除本合同约定的甲方、乙方有单方的合同解除权外，在本合同履行过程中，双方经协商同意，可签订解除本合同协议。</w:t>
      </w:r>
    </w:p>
    <w:p w14:paraId="1F4AA16A">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若解除合同是由乙方提出的，签订解除合同协议时，不论乙方实际工作量的进展程度，甲方均无需向乙方支付后续未完成工作部分的设计服务费用；甲方已经支付的，乙方应在终止或解除后5日内返还已付款项中对应未完成工作部分的款项给甲方，并支付本合同总费用的10%作为违约金给甲方。</w:t>
      </w:r>
    </w:p>
    <w:p w14:paraId="64E55E7D">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11.2 双方确定，出现下列情形，致使本合同的履行成为不必要或不可能的，可以解除本合同：</w:t>
      </w:r>
    </w:p>
    <w:p w14:paraId="417BDA8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11.2.1 发生不可抗力，政府对本项目的政策变化、计划的调整，导致本次服务不能如期进行，也属不可抗力范围；</w:t>
      </w:r>
    </w:p>
    <w:p w14:paraId="1D394AB8">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11.2.2 发生本合同约定的解除事由；</w:t>
      </w:r>
    </w:p>
    <w:p w14:paraId="55BC7E02">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11.2.3 法律、法规规定的其他情形。</w:t>
      </w:r>
    </w:p>
    <w:p w14:paraId="066934AD">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11.3 本合同的变更必须由双方协商一致，并以书面形式确定。</w:t>
      </w:r>
    </w:p>
    <w:p w14:paraId="0C6DC67E">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第十二条 通知与送达</w:t>
      </w:r>
      <w:bookmarkEnd w:id="448"/>
    </w:p>
    <w:p w14:paraId="6485E371">
      <w:pPr>
        <w:adjustRightInd w:val="0"/>
        <w:snapToGrid w:val="0"/>
        <w:spacing w:line="480" w:lineRule="exact"/>
        <w:ind w:firstLine="480" w:firstLineChars="200"/>
        <w:rPr>
          <w:rFonts w:ascii="宋体" w:hAnsi="宋体" w:eastAsia="宋体" w:cs="宋体"/>
          <w:sz w:val="24"/>
          <w:szCs w:val="24"/>
          <w:highlight w:val="none"/>
        </w:rPr>
      </w:pPr>
      <w:bookmarkStart w:id="449" w:name="_Hlk148115042"/>
      <w:bookmarkStart w:id="450" w:name="_Toc25933"/>
      <w:r>
        <w:rPr>
          <w:rFonts w:ascii="宋体" w:hAnsi="宋体" w:eastAsia="宋体" w:cs="宋体"/>
          <w:sz w:val="24"/>
          <w:szCs w:val="24"/>
          <w:highlight w:val="none"/>
        </w:rPr>
        <w:t xml:space="preserve">12.1 </w:t>
      </w:r>
      <w:r>
        <w:rPr>
          <w:rFonts w:hint="eastAsia" w:ascii="宋体" w:hAnsi="宋体" w:eastAsia="宋体" w:cs="宋体"/>
          <w:sz w:val="24"/>
          <w:szCs w:val="24"/>
          <w:highlight w:val="none"/>
        </w:rPr>
        <w:t>甲方确认其联系方式如下：</w:t>
      </w:r>
    </w:p>
    <w:p w14:paraId="3CCB4DDC">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通讯地址： </w:t>
      </w:r>
      <w:r>
        <w:rPr>
          <w:rFonts w:ascii="宋体" w:hAnsi="宋体" w:eastAsia="宋体" w:cs="宋体"/>
          <w:sz w:val="24"/>
          <w:szCs w:val="24"/>
          <w:highlight w:val="none"/>
        </w:rPr>
        <w:t xml:space="preserve">      </w:t>
      </w:r>
    </w:p>
    <w:p w14:paraId="7C403AC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ascii="宋体" w:hAnsi="宋体" w:eastAsia="宋体" w:cs="宋体"/>
          <w:sz w:val="24"/>
          <w:szCs w:val="24"/>
          <w:highlight w:val="none"/>
        </w:rPr>
        <w:t>/收件人：</w:t>
      </w:r>
      <w:r>
        <w:rPr>
          <w:rFonts w:hint="eastAsia" w:ascii="宋体" w:hAnsi="宋体" w:eastAsia="宋体" w:cs="宋体"/>
          <w:sz w:val="24"/>
          <w:szCs w:val="24"/>
          <w:highlight w:val="none"/>
        </w:rPr>
        <w:t xml:space="preserve"> </w:t>
      </w:r>
      <w:r>
        <w:rPr>
          <w:rFonts w:ascii="宋体" w:hAnsi="宋体" w:eastAsia="宋体" w:cs="宋体"/>
          <w:sz w:val="24"/>
          <w:szCs w:val="24"/>
          <w:highlight w:val="none"/>
        </w:rPr>
        <w:t xml:space="preserve">      </w:t>
      </w:r>
    </w:p>
    <w:p w14:paraId="0F974E90">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联系电话： </w:t>
      </w:r>
      <w:r>
        <w:rPr>
          <w:rFonts w:ascii="宋体" w:hAnsi="宋体" w:eastAsia="宋体" w:cs="宋体"/>
          <w:sz w:val="24"/>
          <w:szCs w:val="24"/>
          <w:highlight w:val="none"/>
        </w:rPr>
        <w:t xml:space="preserve">      </w:t>
      </w:r>
    </w:p>
    <w:p w14:paraId="105F2F8C">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邮政编码： </w:t>
      </w:r>
      <w:r>
        <w:rPr>
          <w:rFonts w:ascii="宋体" w:hAnsi="宋体" w:eastAsia="宋体" w:cs="宋体"/>
          <w:sz w:val="24"/>
          <w:szCs w:val="24"/>
          <w:highlight w:val="none"/>
        </w:rPr>
        <w:t xml:space="preserve">      </w:t>
      </w:r>
    </w:p>
    <w:p w14:paraId="0598C157">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电子邮件地址： </w:t>
      </w:r>
      <w:r>
        <w:rPr>
          <w:rFonts w:ascii="宋体" w:hAnsi="宋体" w:eastAsia="宋体" w:cs="宋体"/>
          <w:sz w:val="24"/>
          <w:szCs w:val="24"/>
          <w:highlight w:val="none"/>
        </w:rPr>
        <w:t xml:space="preserve">     </w:t>
      </w:r>
    </w:p>
    <w:p w14:paraId="6A7E06E4">
      <w:pPr>
        <w:adjustRightInd w:val="0"/>
        <w:snapToGrid w:val="0"/>
        <w:spacing w:line="480" w:lineRule="exact"/>
        <w:ind w:firstLine="480" w:firstLineChars="200"/>
        <w:rPr>
          <w:rFonts w:ascii="宋体" w:hAnsi="宋体" w:eastAsia="宋体" w:cs="宋体"/>
          <w:sz w:val="24"/>
          <w:szCs w:val="24"/>
          <w:highlight w:val="none"/>
        </w:rPr>
      </w:pPr>
      <w:r>
        <w:rPr>
          <w:rFonts w:ascii="宋体" w:hAnsi="宋体" w:eastAsia="宋体" w:cs="宋体"/>
          <w:sz w:val="24"/>
          <w:szCs w:val="24"/>
          <w:highlight w:val="none"/>
        </w:rPr>
        <w:t xml:space="preserve">12.2 </w:t>
      </w:r>
      <w:r>
        <w:rPr>
          <w:rFonts w:hint="eastAsia" w:ascii="宋体" w:hAnsi="宋体" w:eastAsia="宋体" w:cs="宋体"/>
          <w:sz w:val="24"/>
          <w:szCs w:val="24"/>
          <w:highlight w:val="none"/>
        </w:rPr>
        <w:t>乙方确认其联系方式如下：</w:t>
      </w:r>
    </w:p>
    <w:p w14:paraId="07410791">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通讯地址：</w:t>
      </w:r>
      <w:r>
        <w:rPr>
          <w:rFonts w:ascii="宋体" w:hAnsi="宋体" w:eastAsia="宋体" w:cs="宋体"/>
          <w:sz w:val="24"/>
          <w:szCs w:val="24"/>
          <w:highlight w:val="none"/>
        </w:rPr>
        <w:t xml:space="preserve"> </w:t>
      </w:r>
    </w:p>
    <w:p w14:paraId="2024846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ascii="宋体" w:hAnsi="宋体" w:eastAsia="宋体" w:cs="宋体"/>
          <w:sz w:val="24"/>
          <w:szCs w:val="24"/>
          <w:highlight w:val="none"/>
        </w:rPr>
        <w:t>/收件人：</w:t>
      </w:r>
    </w:p>
    <w:p w14:paraId="1D322F1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联系电话：</w:t>
      </w:r>
    </w:p>
    <w:p w14:paraId="60512DCC">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邮政编码：</w:t>
      </w:r>
      <w:r>
        <w:rPr>
          <w:rFonts w:ascii="宋体" w:hAnsi="宋体" w:eastAsia="宋体" w:cs="宋体"/>
          <w:sz w:val="24"/>
          <w:szCs w:val="24"/>
          <w:highlight w:val="none"/>
        </w:rPr>
        <w:t xml:space="preserve"> </w:t>
      </w:r>
    </w:p>
    <w:p w14:paraId="6FA7D632">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电子邮件地址：</w:t>
      </w:r>
    </w:p>
    <w:bookmarkEnd w:id="449"/>
    <w:p w14:paraId="2D562A01">
      <w:pPr>
        <w:adjustRightInd w:val="0"/>
        <w:snapToGrid w:val="0"/>
        <w:spacing w:line="480" w:lineRule="exact"/>
        <w:ind w:firstLine="480" w:firstLineChars="200"/>
        <w:rPr>
          <w:rFonts w:ascii="宋体" w:hAnsi="宋体" w:eastAsia="宋体" w:cs="宋体"/>
          <w:sz w:val="24"/>
          <w:szCs w:val="24"/>
          <w:highlight w:val="none"/>
        </w:rPr>
      </w:pPr>
      <w:bookmarkStart w:id="451" w:name="_Toc13105"/>
      <w:r>
        <w:rPr>
          <w:rFonts w:hint="eastAsia" w:ascii="宋体" w:hAnsi="宋体" w:eastAsia="宋体" w:cs="宋体"/>
          <w:sz w:val="24"/>
          <w:szCs w:val="24"/>
          <w:highlight w:val="none"/>
        </w:rPr>
        <w:t>12.3 与本合同的签订、履行有关的文件、通知以及与争议解决有关的文件等的送达，均以本合同中列明的地址和电子邮箱为准，若任何一方的地址、电子邮箱发生变更，应在三日内通知对方，否则只要送达上述的地址或邮箱，不论是否实际接收、拆阅或拒收，均视为送达，由此产生的责任与损失由变更方承担。</w:t>
      </w:r>
      <w:bookmarkEnd w:id="451"/>
    </w:p>
    <w:p w14:paraId="0463A213">
      <w:pPr>
        <w:keepNext/>
        <w:keepLines/>
        <w:adjustRightInd w:val="0"/>
        <w:snapToGrid w:val="0"/>
        <w:spacing w:line="480" w:lineRule="exact"/>
        <w:ind w:firstLine="482" w:firstLineChars="200"/>
        <w:jc w:val="center"/>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第十三条 合同生效及其他</w:t>
      </w:r>
      <w:bookmarkEnd w:id="450"/>
    </w:p>
    <w:p w14:paraId="3A375FBF">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13.1 本合同自甲、乙双方法定代表人签字并加盖公章后生效，甲、乙双方履行完本合同的职责后，本合同即自行终止。本合同中有关争议解决与保密的条款，不因本合同期满、解除或宣告无效而失效。</w:t>
      </w:r>
    </w:p>
    <w:p w14:paraId="2C1D3371">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13.2 本合同一式陆份，甲乙双方各执叁份，均具同等法律效力。</w:t>
      </w:r>
    </w:p>
    <w:p w14:paraId="48BBA46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napToGrid w:val="0"/>
          <w:kern w:val="0"/>
          <w:sz w:val="24"/>
          <w:szCs w:val="24"/>
          <w:highlight w:val="none"/>
        </w:rPr>
        <w:t>13.3</w:t>
      </w:r>
      <w:r>
        <w:rPr>
          <w:rFonts w:hint="eastAsia" w:ascii="宋体" w:hAnsi="宋体" w:eastAsia="宋体" w:cs="宋体"/>
          <w:sz w:val="24"/>
          <w:szCs w:val="24"/>
          <w:highlight w:val="none"/>
        </w:rPr>
        <w:t xml:space="preserve"> 任何一方如需对本合同另作修改或补充，须经甲、乙双方协商，并签订书面补充协议，补充协议为本合同的组成部分，与本合同具有同等法律效力。</w:t>
      </w:r>
    </w:p>
    <w:p w14:paraId="1EF8EE69">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13.4 任何一方如欲终止合同，任何一方均须以书面提出，经甲、乙双方协商同意后方可终止。</w:t>
      </w:r>
    </w:p>
    <w:p w14:paraId="0DB9288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（本页以下无正文，为本合同签署页）</w:t>
      </w:r>
    </w:p>
    <w:p w14:paraId="45EA31FE">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（本页为本合同签署页，以下无正文）</w:t>
      </w:r>
    </w:p>
    <w:tbl>
      <w:tblPr>
        <w:tblStyle w:val="28"/>
        <w:tblpPr w:leftFromText="180" w:rightFromText="180" w:vertAnchor="text" w:horzAnchor="margin" w:tblpXSpec="center" w:tblpY="4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79"/>
        <w:gridCol w:w="4480"/>
      </w:tblGrid>
      <w:tr w14:paraId="76B85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4479" w:type="dxa"/>
            <w:tcBorders>
              <w:top w:val="single" w:color="auto" w:sz="4" w:space="0"/>
              <w:bottom w:val="nil"/>
              <w:right w:val="single" w:color="auto" w:sz="4" w:space="0"/>
            </w:tcBorders>
          </w:tcPr>
          <w:p w14:paraId="7AA42380">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甲方：广州开城联晟城市开发投资有限公司</w:t>
            </w:r>
          </w:p>
        </w:tc>
        <w:tc>
          <w:tcPr>
            <w:tcW w:w="4480" w:type="dxa"/>
            <w:tcBorders>
              <w:left w:val="single" w:color="auto" w:sz="4" w:space="0"/>
            </w:tcBorders>
          </w:tcPr>
          <w:p w14:paraId="26D400AF">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乙方：</w:t>
            </w:r>
          </w:p>
        </w:tc>
      </w:tr>
      <w:tr w14:paraId="7856E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479" w:type="dxa"/>
            <w:tcBorders>
              <w:top w:val="nil"/>
              <w:bottom w:val="nil"/>
              <w:right w:val="single" w:color="auto" w:sz="4" w:space="0"/>
            </w:tcBorders>
          </w:tcPr>
          <w:p w14:paraId="4770BC82">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（盖章）</w:t>
            </w:r>
          </w:p>
        </w:tc>
        <w:tc>
          <w:tcPr>
            <w:tcW w:w="4480" w:type="dxa"/>
            <w:tcBorders>
              <w:left w:val="single" w:color="auto" w:sz="4" w:space="0"/>
            </w:tcBorders>
            <w:vAlign w:val="center"/>
          </w:tcPr>
          <w:p w14:paraId="73C45782">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（盖章）</w:t>
            </w:r>
          </w:p>
        </w:tc>
      </w:tr>
      <w:tr w14:paraId="46C7E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4479" w:type="dxa"/>
            <w:tcBorders>
              <w:top w:val="nil"/>
              <w:bottom w:val="nil"/>
              <w:right w:val="single" w:color="auto" w:sz="4" w:space="0"/>
            </w:tcBorders>
          </w:tcPr>
          <w:p w14:paraId="4C57118A">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地址：</w:t>
            </w:r>
            <w:r>
              <w:rPr>
                <w:rFonts w:ascii="宋体" w:hAnsi="宋体" w:eastAsia="宋体" w:cs="宋体"/>
                <w:sz w:val="24"/>
                <w:szCs w:val="24"/>
                <w:highlight w:val="none"/>
              </w:rPr>
              <w:t xml:space="preserve"> </w:t>
            </w:r>
          </w:p>
        </w:tc>
        <w:tc>
          <w:tcPr>
            <w:tcW w:w="4480" w:type="dxa"/>
            <w:tcBorders>
              <w:left w:val="single" w:color="auto" w:sz="4" w:space="0"/>
            </w:tcBorders>
          </w:tcPr>
          <w:p w14:paraId="1CF77D29">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地址：</w:t>
            </w:r>
          </w:p>
        </w:tc>
      </w:tr>
      <w:tr w14:paraId="51D36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479" w:type="dxa"/>
            <w:tcBorders>
              <w:top w:val="nil"/>
              <w:bottom w:val="nil"/>
              <w:right w:val="single" w:color="auto" w:sz="4" w:space="0"/>
            </w:tcBorders>
          </w:tcPr>
          <w:p w14:paraId="66BC2229">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4480" w:type="dxa"/>
            <w:tcBorders>
              <w:left w:val="single" w:color="auto" w:sz="4" w:space="0"/>
            </w:tcBorders>
          </w:tcPr>
          <w:p w14:paraId="3B8FEE13">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法定代表人：</w:t>
            </w:r>
          </w:p>
        </w:tc>
      </w:tr>
      <w:tr w14:paraId="33943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4479" w:type="dxa"/>
            <w:tcBorders>
              <w:top w:val="nil"/>
              <w:bottom w:val="nil"/>
              <w:right w:val="single" w:color="auto" w:sz="4" w:space="0"/>
            </w:tcBorders>
          </w:tcPr>
          <w:p w14:paraId="2CF58DD0">
            <w:pPr>
              <w:adjustRightInd w:val="0"/>
              <w:snapToGrid w:val="0"/>
              <w:rPr>
                <w:rFonts w:ascii="宋体" w:hAnsi="宋体" w:eastAsia="宋体" w:cs="宋体"/>
                <w:sz w:val="24"/>
                <w:szCs w:val="24"/>
                <w:highlight w:val="none"/>
              </w:rPr>
            </w:pPr>
          </w:p>
        </w:tc>
        <w:tc>
          <w:tcPr>
            <w:tcW w:w="4480" w:type="dxa"/>
            <w:tcBorders>
              <w:left w:val="single" w:color="auto" w:sz="4" w:space="0"/>
            </w:tcBorders>
          </w:tcPr>
          <w:p w14:paraId="4A6BB0F0">
            <w:pPr>
              <w:adjustRightInd w:val="0"/>
              <w:snapToGrid w:val="0"/>
              <w:rPr>
                <w:rFonts w:ascii="宋体" w:hAnsi="宋体" w:eastAsia="宋体" w:cs="宋体"/>
                <w:sz w:val="24"/>
                <w:szCs w:val="24"/>
                <w:highlight w:val="none"/>
              </w:rPr>
            </w:pPr>
          </w:p>
        </w:tc>
      </w:tr>
      <w:tr w14:paraId="71099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4479" w:type="dxa"/>
            <w:tcBorders>
              <w:top w:val="nil"/>
              <w:bottom w:val="nil"/>
              <w:right w:val="single" w:color="auto" w:sz="4" w:space="0"/>
            </w:tcBorders>
          </w:tcPr>
          <w:p w14:paraId="4BDCFE3E">
            <w:pPr>
              <w:adjustRightInd w:val="0"/>
              <w:snapToGrid w:val="0"/>
              <w:rPr>
                <w:rFonts w:ascii="宋体" w:hAnsi="宋体" w:eastAsia="宋体" w:cs="宋体"/>
                <w:sz w:val="24"/>
                <w:szCs w:val="24"/>
                <w:highlight w:val="none"/>
              </w:rPr>
            </w:pPr>
          </w:p>
        </w:tc>
        <w:tc>
          <w:tcPr>
            <w:tcW w:w="4480" w:type="dxa"/>
            <w:tcBorders>
              <w:left w:val="single" w:color="auto" w:sz="4" w:space="0"/>
            </w:tcBorders>
          </w:tcPr>
          <w:p w14:paraId="105596A2">
            <w:pPr>
              <w:adjustRightInd w:val="0"/>
              <w:snapToGrid w:val="0"/>
              <w:rPr>
                <w:rFonts w:ascii="宋体" w:hAnsi="宋体" w:eastAsia="宋体" w:cs="宋体"/>
                <w:sz w:val="24"/>
                <w:szCs w:val="24"/>
                <w:highlight w:val="none"/>
              </w:rPr>
            </w:pPr>
          </w:p>
        </w:tc>
      </w:tr>
      <w:tr w14:paraId="455C3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4479" w:type="dxa"/>
            <w:tcBorders>
              <w:top w:val="nil"/>
              <w:bottom w:val="single" w:color="auto" w:sz="4" w:space="0"/>
              <w:right w:val="single" w:color="auto" w:sz="4" w:space="0"/>
            </w:tcBorders>
          </w:tcPr>
          <w:p w14:paraId="6542576F">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签订日期：2025年   月   日</w:t>
            </w:r>
          </w:p>
        </w:tc>
        <w:tc>
          <w:tcPr>
            <w:tcW w:w="4480" w:type="dxa"/>
            <w:tcBorders>
              <w:left w:val="single" w:color="auto" w:sz="4" w:space="0"/>
            </w:tcBorders>
          </w:tcPr>
          <w:p w14:paraId="4B9D8FB9">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签订日期：2025年   月   日</w:t>
            </w:r>
          </w:p>
        </w:tc>
      </w:tr>
    </w:tbl>
    <w:p w14:paraId="1530EECE">
      <w:pPr>
        <w:adjustRightInd w:val="0"/>
        <w:snapToGrid w:val="0"/>
        <w:ind w:firstLine="420" w:firstLineChars="200"/>
        <w:rPr>
          <w:rFonts w:ascii="宋体" w:hAnsi="宋体" w:eastAsia="宋体" w:cs="宋体"/>
          <w:szCs w:val="24"/>
          <w:highlight w:val="none"/>
        </w:rPr>
      </w:pPr>
    </w:p>
    <w:p w14:paraId="4C5E6691">
      <w:pPr>
        <w:adjustRightInd w:val="0"/>
        <w:snapToGrid w:val="0"/>
        <w:ind w:firstLine="420" w:firstLineChars="200"/>
        <w:rPr>
          <w:rFonts w:ascii="Times New Roman" w:hAnsi="Times New Roman" w:eastAsia="宋体" w:cs="Times New Roman"/>
          <w:szCs w:val="24"/>
          <w:highlight w:val="none"/>
        </w:rPr>
      </w:pPr>
    </w:p>
    <w:p w14:paraId="0EE8F602">
      <w:pPr>
        <w:rPr>
          <w:rFonts w:ascii="Times New Roman" w:hAnsi="Times New Roman" w:eastAsia="宋体" w:cs="Times New Roman"/>
          <w:szCs w:val="24"/>
          <w:highlight w:val="none"/>
        </w:rPr>
      </w:pPr>
      <w:r>
        <w:rPr>
          <w:rFonts w:hint="eastAsia" w:ascii="宋体" w:hAnsi="宋体" w:eastAsia="宋体" w:cs="宋体"/>
          <w:sz w:val="24"/>
          <w:szCs w:val="24"/>
          <w:highlight w:val="none"/>
        </w:rPr>
        <w:t xml:space="preserve"> </w:t>
      </w:r>
    </w:p>
    <w:p w14:paraId="18B32E1F">
      <w:pPr>
        <w:keepNext/>
        <w:keepLines/>
        <w:spacing w:before="340" w:after="330" w:line="578" w:lineRule="auto"/>
        <w:jc w:val="center"/>
        <w:outlineLvl w:val="0"/>
        <w:rPr>
          <w:rFonts w:ascii="Times New Roman" w:hAnsi="Times New Roman" w:eastAsia="宋体" w:cs="Times New Roman"/>
          <w:b/>
          <w:bCs/>
          <w:kern w:val="44"/>
          <w:sz w:val="44"/>
          <w:szCs w:val="44"/>
          <w:highlight w:val="none"/>
        </w:rPr>
      </w:pPr>
    </w:p>
    <w:p w14:paraId="740E4630">
      <w:pPr>
        <w:adjustRightInd w:val="0"/>
        <w:snapToGrid w:val="0"/>
        <w:spacing w:line="720" w:lineRule="auto"/>
        <w:ind w:firstLine="1920" w:firstLineChars="600"/>
        <w:rPr>
          <w:rFonts w:ascii="宋体" w:hAnsi="宋体" w:eastAsia="宋体" w:cs="宋体"/>
          <w:sz w:val="32"/>
          <w:szCs w:val="32"/>
          <w:highlight w:val="none"/>
        </w:rPr>
      </w:pPr>
      <w:r>
        <w:rPr>
          <w:rFonts w:hint="eastAsia" w:ascii="宋体" w:hAnsi="宋体" w:eastAsia="宋体" w:cs="宋体"/>
          <w:sz w:val="32"/>
          <w:szCs w:val="32"/>
          <w:highlight w:val="none"/>
        </w:rPr>
        <w:br w:type="page"/>
      </w:r>
    </w:p>
    <w:bookmarkEnd w:id="411"/>
    <w:bookmarkEnd w:id="412"/>
    <w:bookmarkEnd w:id="413"/>
    <w:bookmarkEnd w:id="414"/>
    <w:p w14:paraId="35A39D11">
      <w:pPr>
        <w:pStyle w:val="2"/>
        <w:numPr>
          <w:ilvl w:val="0"/>
          <w:numId w:val="2"/>
        </w:numPr>
        <w:rPr>
          <w:color w:val="auto"/>
          <w:highlight w:val="none"/>
        </w:rPr>
      </w:pPr>
      <w:bookmarkStart w:id="452" w:name="_Toc15826"/>
      <w:r>
        <w:rPr>
          <w:rFonts w:hint="eastAsia"/>
          <w:color w:val="auto"/>
          <w:highlight w:val="none"/>
        </w:rPr>
        <w:t>委托人要求</w:t>
      </w:r>
      <w:bookmarkEnd w:id="452"/>
      <w:bookmarkStart w:id="453" w:name="_Toc514099719"/>
      <w:bookmarkStart w:id="454" w:name="_Toc645"/>
    </w:p>
    <w:p w14:paraId="314038FA">
      <w:pPr>
        <w:spacing w:line="56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一、项目概况</w:t>
      </w:r>
    </w:p>
    <w:p w14:paraId="62D417C2">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（一）项目名称：广州市黄埔区云埔街火村社区莲潭经济合作社城中村改造项目（南湾村）改造方案与实施计划编制服务</w:t>
      </w:r>
    </w:p>
    <w:p w14:paraId="700A014B">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（二）项目地点： 广州市黄埔区穗东街南湾社区，东至夏园村、南至西滘涌、西至隔墙路、北至中石化油库。</w:t>
      </w:r>
    </w:p>
    <w:p w14:paraId="15674408">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项目规模：综合考虑已拆待建的实际情况及周边可供应的集体、国有土地情况，以权属与行政村界作为底数，衔接城中村改造测量范围，衔接规划发展布局，改造范围约73.34公顷（范围具体以最终方案为准）。范围根据工作需要合理划定，需满足相关主管部门审批要求。</w:t>
      </w:r>
    </w:p>
    <w:p w14:paraId="3D265319">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工作目的：把握党中央、国务院关于在超大特大城市积极稳步推进城中村改造的政策机遇，对广州市黄埔区云埔街火村社区莲潭经济合作社城中村改造项目（南湾村）按照“依法征收、净地出让”改造模式编制城中村改造方案和实施计划。</w:t>
      </w:r>
    </w:p>
    <w:p w14:paraId="5E15C2D4">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二、服务内容及要求</w:t>
      </w:r>
    </w:p>
    <w:p w14:paraId="14FD13EB">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bCs/>
          <w:sz w:val="24"/>
          <w:szCs w:val="24"/>
          <w:highlight w:val="none"/>
        </w:rPr>
        <w:t>广州市黄埔区云埔街火村社区莲潭经济合作社城中村改造项目（南湾村）</w:t>
      </w:r>
      <w:r>
        <w:rPr>
          <w:rFonts w:hint="eastAsia" w:ascii="宋体" w:hAnsi="宋体" w:eastAsia="宋体" w:cs="宋体"/>
          <w:sz w:val="24"/>
          <w:szCs w:val="24"/>
          <w:highlight w:val="none"/>
        </w:rPr>
        <w:t>改造方案编制</w:t>
      </w:r>
    </w:p>
    <w:p w14:paraId="7C134EF6">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主要包括以下内容（最终以城中村改造相关政策要求为准）：</w:t>
      </w:r>
    </w:p>
    <w:p w14:paraId="7B936607">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1.区位和编制背景：</w:t>
      </w:r>
    </w:p>
    <w:p w14:paraId="6C08819A">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简要概述编制本方案的背景、编制依据（说明城中村改造方案所依据法律、法规、政策，上位规划、技术规范等依据文件）、编制过程（方案委托、编制、征求意见、专家论证、公示等过程）等，说明城中村改造片区范围、四至及面积、区位，分析城中村改造片区与周边地区的功能关系、交通联系、空间关系等。</w:t>
      </w:r>
    </w:p>
    <w:p w14:paraId="5EBAC1F6">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(2)结合城中村专项体检结果及改造意愿征询情况，阐述城中村改造的迫切性和必要性。说明项目纳入计划情况和相关规划情况。</w:t>
      </w:r>
    </w:p>
    <w:p w14:paraId="48211D4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2.改造范围划定：以城中村改造范围为主，综合考虑道路、河流等自然要素及产权边界；综合考虑上位规划管控等因素，划定改造范围。</w:t>
      </w:r>
    </w:p>
    <w:p w14:paraId="03ECCFB3">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3.现状分析：人口及经济发展、土地权属、土地利用、公服市政基础设施、绿地景观、历史文化遗产摸查、树木摸查、留用地、飞地、产业发展、历史遗留问题等现状情况分析。</w:t>
      </w:r>
    </w:p>
    <w:p w14:paraId="6C2D0142">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4.相关规划和计划：分析改造范围内国土空间总体规划、详细规划及其他相关专项规划等要求，对接城中村改造中长期建设计划、年度计划等要求。</w:t>
      </w:r>
    </w:p>
    <w:p w14:paraId="347CC3D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5.改造方式和改造主体：明确城中村改造方式和改造主体。</w:t>
      </w:r>
    </w:p>
    <w:p w14:paraId="4E6EC6AA">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6.发展定位与目标：结合区域发展情况，提出城中村发展定位，明确城中村改造的目标。</w:t>
      </w:r>
    </w:p>
    <w:p w14:paraId="1E8AFE61">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7.改造建设方案：明确拆迁规模、建设布局、复建安置、保障性住房、公共服务设施和基础设施、建筑废弃物再利用方案等内容；</w:t>
      </w:r>
    </w:p>
    <w:p w14:paraId="4B96159F">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土地整备与供应方案：明确土地征收、置换等整备方式的具体范围和实施路径，并明确复建安置住宅和物业、保障性住房、公共服务设施和市政基础设施等用地的土地供应方式。如相关审核部门对土地整备内容深度需深化至专章，需另外聘请技术服务团队编制土地整备专章。</w:t>
      </w:r>
    </w:p>
    <w:p w14:paraId="315475CB">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历史文化和树木保护指引：改造范围涉及的历史文化街区、历史风貌区、历史文化名镇名村、传统村落、不可移动文物、历史建筑、传统风貌建筑等历史文化遗产保护措施和方案；以及改造范围古树名木及后续资源、大树保护措施和方案。（根据历史文化遗产保护评估报告和树木保护专章整理本章节相应内容）</w:t>
      </w:r>
    </w:p>
    <w:p w14:paraId="0FBAE1FD">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投资估算和资金筹措：①改造成本匡算，按相关规定和标准，逐项测算城中村改造成本；②改造收益测算，结合城中村改造项目周边土地及房地产市场情况、产业运营情况等，测算可产生收益；③资金平衡，根据改造成本、收益情况，做出经济平衡分析改造收益测算；④资金筹措，说明改造资金筹措方式。</w:t>
      </w:r>
    </w:p>
    <w:p w14:paraId="2380B654">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项目实施计划：对征地拆迁、安置房、公建配套、市政配套和经济平衡等统筹分析研究，制定项目近期、中期、远期实施计划（含项目清单），明确各项目名称、主管部门、建设单位、建设时序、静态总投资和资金来源等，做好风险防控并制定保障措施。作为项目推进时序参考，具体以项目实际情况为准。</w:t>
      </w:r>
    </w:p>
    <w:p w14:paraId="7B561134">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12.综合效益：根据项目改造情况对社会、经济、文化、环境等方面进行预期效益分析。</w:t>
      </w:r>
    </w:p>
    <w:p w14:paraId="6F393AB1">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13.专题分析：包括社会稳定风险评估、产业发展评估报告、历史文化遗产保护评估报告、城市树木保护专章、交通影响评估、环境影响评价、海绵城市（洪涝安全评估）等内容。需另外聘请技术服务团队编制前述专题。</w:t>
      </w:r>
    </w:p>
    <w:p w14:paraId="0DEA25EA">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bCs/>
          <w:sz w:val="24"/>
          <w:szCs w:val="24"/>
          <w:highlight w:val="none"/>
        </w:rPr>
        <w:t>广州市黄埔区云埔街火村社区莲潭经济合作社城中村改造项目（南湾村）</w:t>
      </w:r>
      <w:r>
        <w:rPr>
          <w:rFonts w:hint="eastAsia" w:ascii="宋体" w:hAnsi="宋体" w:eastAsia="宋体" w:cs="宋体"/>
          <w:sz w:val="24"/>
          <w:szCs w:val="24"/>
          <w:highlight w:val="none"/>
        </w:rPr>
        <w:t>实施计划编制</w:t>
      </w:r>
    </w:p>
    <w:p w14:paraId="0F1B73FB">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主要包括以下内容（最终以城中村改造相关政策要求为准）：</w:t>
      </w:r>
    </w:p>
    <w:p w14:paraId="7894E99F">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项目概况：描述项目工作背景、项目建设的必要性和可行性、项目建设基本要求、编制依据和实施原则等内容。阐述城中村改造的必要性，概述片区改造方案、资金平衡的可行性，说明项目工作目标、公益性要求、实施步骤等要求。</w:t>
      </w:r>
    </w:p>
    <w:p w14:paraId="3E51738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2.项目规划情况：基于相关部门编制的各类规划文件进行分析，简要介绍片区总体、市政配套（含市政设施、道路、绿化、河涌水系改造）、安置房与公建配套、征地拆迁和管线迁改方面的规划情况。</w:t>
      </w:r>
    </w:p>
    <w:p w14:paraId="0FFBDB32">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总体项目清单：按照“一次规划、总额控制、合理筛分、分期实施”原则，列明片区改造所涉及的所有项目，并给出总体项目清单，包括征地拆迁、管线迁改、安置房及公建配套、市政配套（含市政设施、道路、绿化、河涌水系改造）等。</w:t>
      </w:r>
    </w:p>
    <w:p w14:paraId="5D8ABBD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经济平衡测算：开展项目出让收益分析，根据规划方案，对出让地块指标、出让时序计划、出让收益进行综合说明，初步研判片区出让地块总体收益情况及分期出让收益。基于项目成本，给出征拆、管线迁改、安置房与公建配套、市政配套等四种项目类型的控制成本。说明风险防控及保障机制。</w:t>
      </w:r>
    </w:p>
    <w:p w14:paraId="191B7840">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5.项目实施清单与计划：根据项目控制成本，说明项目筛分原则，编制项目近期、中期实施清单与计划和远期实施清单与计划（储备项目清单）。</w:t>
      </w:r>
    </w:p>
    <w:p w14:paraId="2D01BCD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6.项目组团实施计划：依据详细规划，根据组团原则，结合近期、中期实施清单与计划以及工作的实际开展需要，给出不同组团的实施项目及对应的土地交储建议范围，制定项目组团实施计划。</w:t>
      </w:r>
    </w:p>
    <w:p w14:paraId="70379E66">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资金平衡计划：包括资金筹措、还本付息，土地出让建议等内容。针对近期、中期、远期实施清单与计划中的项目，分年度说明改造资金筹措方式，结合片区内土地交储时序建议制定还本付息计划，提出年度资金需求建议。</w:t>
      </w:r>
    </w:p>
    <w:p w14:paraId="70D52A41">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8.相关专项内容：本部分可直接引用《详细规划》或《城中村改造方案》中已编制完成（已由各职能部门审议通过）的相关内容。需另外聘请技术服务团队编制前述专题。</w:t>
      </w:r>
    </w:p>
    <w:p w14:paraId="7B4A1FBB">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（三）工作成果</w:t>
      </w:r>
    </w:p>
    <w:p w14:paraId="37F84617">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1.根据主管部门的具体审查要求，对工作内容进行成果编制并协助汇报、报批工作，负责改造方案与实施计划汇报、评审过程中所需规划图件。</w:t>
      </w:r>
    </w:p>
    <w:p w14:paraId="152EC05B">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2.最终成果包括纸质版和电子版的文本及相关图件，其中：电子版文本文件采用pdf格式文件，图形文件采用jpg或png格式文件，具体以主管部门有关成果电子报批和管理的格式要求为准。</w:t>
      </w:r>
    </w:p>
    <w:p w14:paraId="09AA8B67">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3.改造方案与实施计划全本采用A4幅面，改造方案与实施计划图纸采用A3幅面，附于改造方案与实施计划全本之后合订为一册；最终成果确定，且甲方支付相应阶段款项后，乙方向甲方提交纸质版文本及电子光盘。</w:t>
      </w:r>
    </w:p>
    <w:p w14:paraId="0A1743D6">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4.若需补充实体模型、修建性详细规划、演示动画等，招标人须单独另行委托具备相应资质的单位开展，由乙方负责提供必要的技术资料。</w:t>
      </w:r>
    </w:p>
    <w:p w14:paraId="59921A27">
      <w:pPr>
        <w:keepNext/>
        <w:keepLines/>
        <w:adjustRightInd w:val="0"/>
        <w:snapToGrid w:val="0"/>
        <w:spacing w:line="480" w:lineRule="exact"/>
        <w:ind w:firstLine="482" w:firstLineChars="200"/>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（三）工作进度和技术要求</w:t>
      </w:r>
    </w:p>
    <w:p w14:paraId="6AA8371F">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1.工作进度</w:t>
      </w:r>
    </w:p>
    <w:tbl>
      <w:tblPr>
        <w:tblStyle w:val="28"/>
        <w:tblW w:w="7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25"/>
        <w:gridCol w:w="1836"/>
        <w:gridCol w:w="5077"/>
      </w:tblGrid>
      <w:tr w14:paraId="284D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8" w:hRule="atLeast"/>
          <w:jc w:val="center"/>
        </w:trPr>
        <w:tc>
          <w:tcPr>
            <w:tcW w:w="825" w:type="dxa"/>
            <w:shd w:val="clear" w:color="auto" w:fill="D8D8D8"/>
            <w:vAlign w:val="center"/>
          </w:tcPr>
          <w:p w14:paraId="7867128D">
            <w:pPr>
              <w:widowControl/>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1836" w:type="dxa"/>
            <w:shd w:val="clear" w:color="auto" w:fill="D8D8D8"/>
            <w:vAlign w:val="center"/>
          </w:tcPr>
          <w:p w14:paraId="02FC648E">
            <w:pPr>
              <w:widowControl/>
              <w:rPr>
                <w:rFonts w:ascii="宋体" w:hAnsi="宋体" w:eastAsia="宋体" w:cs="宋体"/>
                <w:sz w:val="24"/>
                <w:szCs w:val="24"/>
                <w:highlight w:val="none"/>
              </w:rPr>
            </w:pPr>
            <w:r>
              <w:rPr>
                <w:rFonts w:hint="eastAsia" w:ascii="宋体" w:hAnsi="宋体" w:eastAsia="宋体" w:cs="宋体"/>
                <w:sz w:val="24"/>
                <w:szCs w:val="24"/>
                <w:highlight w:val="none"/>
              </w:rPr>
              <w:t>工作阶段</w:t>
            </w:r>
          </w:p>
        </w:tc>
        <w:tc>
          <w:tcPr>
            <w:tcW w:w="5077" w:type="dxa"/>
            <w:shd w:val="clear" w:color="auto" w:fill="D8D8D8"/>
            <w:vAlign w:val="center"/>
          </w:tcPr>
          <w:p w14:paraId="40EE1FAA">
            <w:pPr>
              <w:widowControl/>
              <w:rPr>
                <w:rFonts w:ascii="宋体" w:hAnsi="宋体" w:eastAsia="宋体" w:cs="宋体"/>
                <w:sz w:val="24"/>
                <w:szCs w:val="24"/>
                <w:highlight w:val="none"/>
              </w:rPr>
            </w:pPr>
            <w:r>
              <w:rPr>
                <w:rFonts w:hint="eastAsia" w:ascii="宋体" w:hAnsi="宋体" w:eastAsia="宋体" w:cs="宋体"/>
                <w:sz w:val="24"/>
                <w:szCs w:val="24"/>
                <w:highlight w:val="none"/>
              </w:rPr>
              <w:t>工作内容</w:t>
            </w:r>
          </w:p>
        </w:tc>
      </w:tr>
      <w:tr w14:paraId="2EB7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1" w:hRule="atLeast"/>
          <w:jc w:val="center"/>
        </w:trPr>
        <w:tc>
          <w:tcPr>
            <w:tcW w:w="825" w:type="dxa"/>
            <w:shd w:val="clear" w:color="auto" w:fill="FFFFFF"/>
            <w:vAlign w:val="center"/>
          </w:tcPr>
          <w:p w14:paraId="3B2AD5BD">
            <w:pPr>
              <w:widowControl/>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836" w:type="dxa"/>
            <w:shd w:val="clear" w:color="auto" w:fill="FFFFFF"/>
            <w:vAlign w:val="center"/>
          </w:tcPr>
          <w:p w14:paraId="628F6F5A">
            <w:pPr>
              <w:widowControl/>
              <w:rPr>
                <w:rFonts w:ascii="宋体" w:hAnsi="宋体" w:eastAsia="宋体" w:cs="宋体"/>
                <w:sz w:val="24"/>
                <w:szCs w:val="24"/>
                <w:highlight w:val="none"/>
              </w:rPr>
            </w:pPr>
            <w:r>
              <w:rPr>
                <w:rFonts w:hint="eastAsia" w:ascii="宋体" w:hAnsi="宋体" w:eastAsia="宋体" w:cs="宋体"/>
                <w:sz w:val="24"/>
                <w:szCs w:val="24"/>
                <w:highlight w:val="none"/>
              </w:rPr>
              <w:t>初期方案阶段</w:t>
            </w:r>
          </w:p>
        </w:tc>
        <w:tc>
          <w:tcPr>
            <w:tcW w:w="5077" w:type="dxa"/>
            <w:shd w:val="clear" w:color="auto" w:fill="FFFFFF"/>
            <w:vAlign w:val="center"/>
          </w:tcPr>
          <w:p w14:paraId="679D6D21">
            <w:pPr>
              <w:widowControl/>
              <w:rPr>
                <w:rFonts w:ascii="宋体" w:hAnsi="宋体" w:eastAsia="宋体" w:cs="宋体"/>
                <w:sz w:val="24"/>
                <w:szCs w:val="24"/>
                <w:highlight w:val="none"/>
              </w:rPr>
            </w:pPr>
            <w:r>
              <w:rPr>
                <w:rFonts w:hint="eastAsia" w:ascii="宋体" w:hAnsi="宋体" w:eastAsia="宋体" w:cs="宋体"/>
                <w:sz w:val="24"/>
                <w:szCs w:val="24"/>
                <w:highlight w:val="none"/>
              </w:rPr>
              <w:t>合同签订后，根据基础数据调查成果、相关规划编制改造方案与实施计划初步方案。</w:t>
            </w:r>
          </w:p>
        </w:tc>
      </w:tr>
      <w:tr w14:paraId="21FD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1" w:hRule="atLeast"/>
          <w:jc w:val="center"/>
        </w:trPr>
        <w:tc>
          <w:tcPr>
            <w:tcW w:w="825" w:type="dxa"/>
            <w:shd w:val="clear" w:color="auto" w:fill="FFFFFF"/>
            <w:vAlign w:val="center"/>
          </w:tcPr>
          <w:p w14:paraId="0E351BB9">
            <w:pPr>
              <w:widowControl/>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836" w:type="dxa"/>
            <w:shd w:val="clear" w:color="auto" w:fill="FFFFFF"/>
            <w:vAlign w:val="center"/>
          </w:tcPr>
          <w:p w14:paraId="689F1504">
            <w:pPr>
              <w:widowControl/>
              <w:rPr>
                <w:rFonts w:ascii="宋体" w:hAnsi="宋体" w:eastAsia="宋体" w:cs="宋体"/>
                <w:sz w:val="24"/>
                <w:szCs w:val="24"/>
                <w:highlight w:val="none"/>
              </w:rPr>
            </w:pPr>
            <w:r>
              <w:rPr>
                <w:rFonts w:hint="eastAsia" w:ascii="宋体" w:hAnsi="宋体" w:eastAsia="宋体" w:cs="宋体"/>
                <w:sz w:val="24"/>
                <w:szCs w:val="24"/>
                <w:highlight w:val="none"/>
              </w:rPr>
              <w:t>中期方案阶段</w:t>
            </w:r>
          </w:p>
        </w:tc>
        <w:tc>
          <w:tcPr>
            <w:tcW w:w="5077" w:type="dxa"/>
            <w:shd w:val="clear" w:color="auto" w:fill="FFFFFF"/>
            <w:vAlign w:val="center"/>
          </w:tcPr>
          <w:p w14:paraId="6020BBE3">
            <w:pPr>
              <w:widowControl/>
              <w:rPr>
                <w:rFonts w:ascii="宋体" w:hAnsi="宋体" w:eastAsia="宋体" w:cs="宋体"/>
                <w:sz w:val="24"/>
                <w:szCs w:val="24"/>
                <w:highlight w:val="none"/>
              </w:rPr>
            </w:pPr>
            <w:r>
              <w:rPr>
                <w:rFonts w:hint="eastAsia" w:ascii="宋体" w:hAnsi="宋体" w:eastAsia="宋体" w:cs="宋体"/>
                <w:sz w:val="24"/>
                <w:szCs w:val="24"/>
                <w:highlight w:val="none"/>
              </w:rPr>
              <w:t>根据政府部门、村民等多方意见修改完善方案，形成改造方案与实施计划中期成果。</w:t>
            </w:r>
          </w:p>
        </w:tc>
      </w:tr>
      <w:tr w14:paraId="7169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1" w:hRule="atLeast"/>
          <w:jc w:val="center"/>
        </w:trPr>
        <w:tc>
          <w:tcPr>
            <w:tcW w:w="825" w:type="dxa"/>
            <w:shd w:val="clear" w:color="auto" w:fill="FFFFFF"/>
            <w:vAlign w:val="center"/>
          </w:tcPr>
          <w:p w14:paraId="3120DBDA">
            <w:pPr>
              <w:widowControl/>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1836" w:type="dxa"/>
            <w:shd w:val="clear" w:color="auto" w:fill="FFFFFF"/>
            <w:vAlign w:val="center"/>
          </w:tcPr>
          <w:p w14:paraId="5DA8FEBE">
            <w:pPr>
              <w:widowControl/>
              <w:rPr>
                <w:rFonts w:ascii="宋体" w:hAnsi="宋体" w:eastAsia="宋体" w:cs="宋体"/>
                <w:sz w:val="24"/>
                <w:szCs w:val="24"/>
                <w:highlight w:val="none"/>
              </w:rPr>
            </w:pPr>
            <w:r>
              <w:rPr>
                <w:rFonts w:hint="eastAsia" w:ascii="宋体" w:hAnsi="宋体" w:eastAsia="宋体" w:cs="宋体"/>
                <w:sz w:val="24"/>
                <w:szCs w:val="24"/>
                <w:highlight w:val="none"/>
              </w:rPr>
              <w:t>终期方案阶段</w:t>
            </w:r>
          </w:p>
        </w:tc>
        <w:tc>
          <w:tcPr>
            <w:tcW w:w="5077" w:type="dxa"/>
            <w:shd w:val="clear" w:color="auto" w:fill="FFFFFF"/>
            <w:vAlign w:val="center"/>
          </w:tcPr>
          <w:p w14:paraId="124888C6">
            <w:pPr>
              <w:widowControl/>
              <w:rPr>
                <w:rFonts w:ascii="宋体" w:hAnsi="宋体" w:eastAsia="宋体" w:cs="宋体"/>
                <w:sz w:val="24"/>
                <w:szCs w:val="24"/>
                <w:highlight w:val="none"/>
              </w:rPr>
            </w:pPr>
            <w:bookmarkStart w:id="455" w:name="_Hlk166787978"/>
            <w:r>
              <w:rPr>
                <w:rFonts w:hint="eastAsia" w:ascii="宋体" w:hAnsi="宋体" w:eastAsia="宋体" w:cs="宋体"/>
                <w:sz w:val="24"/>
                <w:szCs w:val="24"/>
                <w:highlight w:val="none"/>
              </w:rPr>
              <w:t>根据相关部门意见修改方案，形成改造方案与实施计划最终成果，报送有权限的机关审批</w:t>
            </w:r>
            <w:bookmarkEnd w:id="455"/>
            <w:r>
              <w:rPr>
                <w:rFonts w:hint="eastAsia" w:ascii="宋体" w:hAnsi="宋体" w:eastAsia="宋体" w:cs="宋体"/>
                <w:sz w:val="24"/>
                <w:szCs w:val="24"/>
                <w:highlight w:val="none"/>
              </w:rPr>
              <w:t>。</w:t>
            </w:r>
          </w:p>
        </w:tc>
      </w:tr>
    </w:tbl>
    <w:p w14:paraId="463851AC">
      <w:pPr>
        <w:adjustRightInd w:val="0"/>
        <w:snapToGrid w:val="0"/>
        <w:spacing w:line="480" w:lineRule="exact"/>
        <w:ind w:left="420" w:leftChars="200"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2.技术要求</w:t>
      </w:r>
    </w:p>
    <w:p w14:paraId="591A3A8B">
      <w:pPr>
        <w:spacing w:line="560" w:lineRule="exact"/>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城中村改造方案成果参照《广州市城中村改造方案编制和报批工作指引》要求。城中村改造实施计划成果参照《城中村改造实施计划（模版）》要求。</w:t>
      </w:r>
    </w:p>
    <w:p w14:paraId="2A1D25DF">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改造方案与实施计划内容、深度必须符合《中华人民共和国土地管理法》《中华人民共和国城乡规划法》《广州市城中村改造条例》等现行国家和地方有关法律、法规以及相关规范中的有关规定要求。</w:t>
      </w:r>
    </w:p>
    <w:p w14:paraId="2C5F5F4D">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规划内容、深度必须满足行政主管部门审查和审批的要求，成果电子文件制作标准与数据格式必须符合行政主管部门对于成果入库的相关技术规定要求，并能纳入行政主管部门数据平台。</w:t>
      </w:r>
    </w:p>
    <w:p w14:paraId="66A8D640">
      <w:pPr>
        <w:rPr>
          <w:rFonts w:ascii="宋体" w:hAnsi="宋体" w:eastAsia="宋体" w:cs="宋体"/>
          <w:sz w:val="24"/>
          <w:szCs w:val="24"/>
          <w:highlight w:val="none"/>
        </w:rPr>
      </w:pPr>
    </w:p>
    <w:bookmarkEnd w:id="453"/>
    <w:bookmarkEnd w:id="454"/>
    <w:p w14:paraId="012B6562">
      <w:pPr>
        <w:pStyle w:val="2"/>
        <w:rPr>
          <w:color w:val="auto"/>
          <w:highlight w:val="none"/>
        </w:rPr>
      </w:pPr>
      <w:bookmarkStart w:id="456" w:name="_Toc22393"/>
      <w:r>
        <w:rPr>
          <w:rFonts w:hint="eastAsia"/>
          <w:color w:val="auto"/>
          <w:highlight w:val="none"/>
        </w:rPr>
        <w:t>第六章</w:t>
      </w:r>
      <w:r>
        <w:rPr>
          <w:color w:val="auto"/>
          <w:highlight w:val="none"/>
        </w:rPr>
        <w:t xml:space="preserve"> </w:t>
      </w:r>
      <w:r>
        <w:rPr>
          <w:rFonts w:hint="eastAsia"/>
          <w:color w:val="auto"/>
          <w:highlight w:val="none"/>
        </w:rPr>
        <w:t>投标文件格式</w:t>
      </w:r>
      <w:bookmarkEnd w:id="456"/>
    </w:p>
    <w:p w14:paraId="167CC81C">
      <w:pPr>
        <w:spacing w:line="400" w:lineRule="exact"/>
        <w:rPr>
          <w:rFonts w:ascii="宋体" w:hAnsi="宋体" w:eastAsia="宋体"/>
          <w:highlight w:val="none"/>
        </w:rPr>
      </w:pPr>
      <w:r>
        <w:rPr>
          <w:rFonts w:ascii="宋体" w:hAnsi="宋体" w:eastAsia="宋体"/>
          <w:highlight w:val="none"/>
        </w:rPr>
        <w:br w:type="page"/>
      </w:r>
      <w:r>
        <w:rPr>
          <w:rFonts w:ascii="宋体" w:hAnsi="宋体" w:eastAsia="宋体"/>
          <w:highlight w:val="none"/>
        </w:rPr>
        <w:t>封面</w:t>
      </w:r>
    </w:p>
    <w:p w14:paraId="31ACB75C">
      <w:pPr>
        <w:spacing w:line="400" w:lineRule="exact"/>
        <w:rPr>
          <w:rFonts w:ascii="宋体" w:hAnsi="宋体" w:eastAsia="宋体"/>
          <w:sz w:val="28"/>
          <w:szCs w:val="28"/>
          <w:highlight w:val="none"/>
        </w:rPr>
      </w:pPr>
    </w:p>
    <w:p w14:paraId="02A0EEF5">
      <w:pPr>
        <w:jc w:val="center"/>
        <w:rPr>
          <w:rFonts w:ascii="宋体" w:hAnsi="宋体" w:eastAsia="宋体"/>
          <w:sz w:val="44"/>
          <w:szCs w:val="44"/>
          <w:highlight w:val="none"/>
        </w:rPr>
      </w:pPr>
    </w:p>
    <w:p w14:paraId="19A99877">
      <w:pPr>
        <w:spacing w:line="480" w:lineRule="auto"/>
        <w:jc w:val="center"/>
        <w:rPr>
          <w:rFonts w:ascii="宋体" w:hAnsi="宋体" w:eastAsia="宋体"/>
          <w:sz w:val="44"/>
          <w:szCs w:val="44"/>
          <w:highlight w:val="none"/>
        </w:rPr>
      </w:pPr>
      <w:r>
        <w:rPr>
          <w:rFonts w:hint="eastAsia" w:ascii="宋体" w:hAnsi="宋体" w:eastAsia="宋体"/>
          <w:sz w:val="44"/>
          <w:szCs w:val="44"/>
          <w:highlight w:val="none"/>
        </w:rPr>
        <w:t>广州市黄埔区云埔街火村社区莲潭经济合作社城中村改造项目（南湾村）改造方案与</w:t>
      </w:r>
    </w:p>
    <w:p w14:paraId="36822828">
      <w:pPr>
        <w:spacing w:line="480" w:lineRule="auto"/>
        <w:jc w:val="center"/>
        <w:rPr>
          <w:rFonts w:ascii="宋体" w:hAnsi="宋体" w:eastAsia="宋体"/>
          <w:sz w:val="44"/>
          <w:szCs w:val="44"/>
          <w:highlight w:val="none"/>
        </w:rPr>
      </w:pPr>
      <w:r>
        <w:rPr>
          <w:rFonts w:hint="eastAsia" w:ascii="宋体" w:hAnsi="宋体" w:eastAsia="宋体"/>
          <w:sz w:val="44"/>
          <w:szCs w:val="44"/>
          <w:highlight w:val="none"/>
        </w:rPr>
        <w:t>实施计划编制服务</w:t>
      </w:r>
    </w:p>
    <w:p w14:paraId="56AA8AC3">
      <w:pPr>
        <w:rPr>
          <w:rFonts w:ascii="宋体" w:hAnsi="宋体" w:eastAsia="宋体"/>
          <w:sz w:val="28"/>
          <w:szCs w:val="28"/>
          <w:highlight w:val="none"/>
        </w:rPr>
      </w:pPr>
    </w:p>
    <w:p w14:paraId="7DF73A77">
      <w:pPr>
        <w:rPr>
          <w:rFonts w:ascii="宋体" w:hAnsi="宋体" w:eastAsia="宋体"/>
          <w:sz w:val="28"/>
          <w:szCs w:val="28"/>
          <w:highlight w:val="none"/>
        </w:rPr>
      </w:pPr>
    </w:p>
    <w:p w14:paraId="6E5B0BBA">
      <w:pPr>
        <w:rPr>
          <w:rFonts w:ascii="宋体" w:hAnsi="宋体" w:eastAsia="宋体"/>
          <w:sz w:val="28"/>
          <w:szCs w:val="28"/>
          <w:highlight w:val="none"/>
        </w:rPr>
      </w:pPr>
    </w:p>
    <w:p w14:paraId="7ABE2B13">
      <w:pPr>
        <w:rPr>
          <w:rFonts w:ascii="宋体" w:hAnsi="宋体" w:eastAsia="宋体"/>
          <w:sz w:val="28"/>
          <w:szCs w:val="28"/>
          <w:highlight w:val="none"/>
        </w:rPr>
      </w:pPr>
    </w:p>
    <w:p w14:paraId="342F700E">
      <w:pPr>
        <w:rPr>
          <w:rFonts w:ascii="宋体" w:hAnsi="宋体" w:eastAsia="宋体"/>
          <w:sz w:val="28"/>
          <w:szCs w:val="28"/>
          <w:highlight w:val="none"/>
        </w:rPr>
      </w:pPr>
    </w:p>
    <w:p w14:paraId="73154B78">
      <w:pPr>
        <w:rPr>
          <w:rFonts w:ascii="宋体" w:hAnsi="宋体" w:eastAsia="宋体"/>
          <w:sz w:val="28"/>
          <w:szCs w:val="28"/>
          <w:highlight w:val="none"/>
        </w:rPr>
      </w:pPr>
    </w:p>
    <w:p w14:paraId="697FA94F">
      <w:pPr>
        <w:rPr>
          <w:rFonts w:ascii="宋体" w:hAnsi="宋体" w:eastAsia="宋体"/>
          <w:sz w:val="28"/>
          <w:szCs w:val="28"/>
          <w:highlight w:val="none"/>
        </w:rPr>
      </w:pPr>
    </w:p>
    <w:p w14:paraId="05823C0D">
      <w:pPr>
        <w:jc w:val="center"/>
        <w:rPr>
          <w:rFonts w:ascii="宋体" w:hAnsi="宋体" w:eastAsia="宋体"/>
          <w:sz w:val="44"/>
          <w:szCs w:val="44"/>
          <w:highlight w:val="none"/>
        </w:rPr>
      </w:pPr>
      <w:r>
        <w:rPr>
          <w:rFonts w:hint="eastAsia" w:ascii="宋体" w:hAnsi="宋体" w:eastAsia="宋体"/>
          <w:sz w:val="44"/>
          <w:szCs w:val="44"/>
          <w:highlight w:val="none"/>
        </w:rPr>
        <w:t>投</w:t>
      </w:r>
      <w:r>
        <w:rPr>
          <w:rFonts w:ascii="宋体" w:hAnsi="宋体" w:eastAsia="宋体"/>
          <w:sz w:val="44"/>
          <w:szCs w:val="44"/>
          <w:highlight w:val="none"/>
        </w:rPr>
        <w:t xml:space="preserve"> </w:t>
      </w:r>
      <w:r>
        <w:rPr>
          <w:rFonts w:hint="eastAsia" w:ascii="宋体" w:hAnsi="宋体" w:eastAsia="宋体"/>
          <w:sz w:val="44"/>
          <w:szCs w:val="44"/>
          <w:highlight w:val="none"/>
        </w:rPr>
        <w:t>标</w:t>
      </w:r>
      <w:r>
        <w:rPr>
          <w:rFonts w:ascii="宋体" w:hAnsi="宋体" w:eastAsia="宋体"/>
          <w:sz w:val="44"/>
          <w:szCs w:val="44"/>
          <w:highlight w:val="none"/>
        </w:rPr>
        <w:t xml:space="preserve"> </w:t>
      </w:r>
      <w:r>
        <w:rPr>
          <w:rFonts w:hint="eastAsia" w:ascii="宋体" w:hAnsi="宋体" w:eastAsia="宋体"/>
          <w:sz w:val="44"/>
          <w:szCs w:val="44"/>
          <w:highlight w:val="none"/>
        </w:rPr>
        <w:t>文</w:t>
      </w:r>
      <w:r>
        <w:rPr>
          <w:rFonts w:ascii="宋体" w:hAnsi="宋体" w:eastAsia="宋体"/>
          <w:sz w:val="44"/>
          <w:szCs w:val="44"/>
          <w:highlight w:val="none"/>
        </w:rPr>
        <w:t xml:space="preserve"> </w:t>
      </w:r>
      <w:r>
        <w:rPr>
          <w:rFonts w:hint="eastAsia" w:ascii="宋体" w:hAnsi="宋体" w:eastAsia="宋体"/>
          <w:sz w:val="44"/>
          <w:szCs w:val="44"/>
          <w:highlight w:val="none"/>
        </w:rPr>
        <w:t>件</w:t>
      </w:r>
    </w:p>
    <w:p w14:paraId="35D95F8A">
      <w:pPr>
        <w:rPr>
          <w:rFonts w:ascii="宋体" w:hAnsi="宋体" w:eastAsia="宋体"/>
          <w:sz w:val="28"/>
          <w:szCs w:val="28"/>
          <w:highlight w:val="none"/>
        </w:rPr>
      </w:pPr>
    </w:p>
    <w:p w14:paraId="1EF44A79">
      <w:pPr>
        <w:rPr>
          <w:rFonts w:ascii="宋体" w:hAnsi="宋体" w:eastAsia="宋体"/>
          <w:sz w:val="28"/>
          <w:szCs w:val="28"/>
          <w:highlight w:val="none"/>
        </w:rPr>
      </w:pPr>
    </w:p>
    <w:p w14:paraId="633270A0">
      <w:pPr>
        <w:rPr>
          <w:rFonts w:ascii="宋体" w:hAnsi="宋体" w:eastAsia="宋体"/>
          <w:sz w:val="28"/>
          <w:szCs w:val="28"/>
          <w:highlight w:val="none"/>
        </w:rPr>
      </w:pPr>
    </w:p>
    <w:p w14:paraId="019374F1">
      <w:pPr>
        <w:rPr>
          <w:rFonts w:ascii="宋体" w:hAnsi="宋体" w:eastAsia="宋体"/>
          <w:sz w:val="28"/>
          <w:szCs w:val="28"/>
          <w:highlight w:val="none"/>
        </w:rPr>
      </w:pPr>
    </w:p>
    <w:p w14:paraId="3D361620">
      <w:pPr>
        <w:rPr>
          <w:rFonts w:ascii="宋体" w:hAnsi="宋体" w:eastAsia="宋体"/>
          <w:sz w:val="28"/>
          <w:szCs w:val="28"/>
          <w:highlight w:val="none"/>
        </w:rPr>
      </w:pPr>
    </w:p>
    <w:p w14:paraId="6908848A">
      <w:pPr>
        <w:rPr>
          <w:rFonts w:ascii="宋体" w:hAnsi="宋体" w:eastAsia="宋体"/>
          <w:sz w:val="28"/>
          <w:szCs w:val="28"/>
          <w:highlight w:val="none"/>
        </w:rPr>
      </w:pPr>
    </w:p>
    <w:p w14:paraId="4A7656D6">
      <w:pPr>
        <w:rPr>
          <w:rFonts w:ascii="宋体" w:hAnsi="宋体" w:eastAsia="宋体"/>
          <w:sz w:val="28"/>
          <w:szCs w:val="28"/>
          <w:highlight w:val="none"/>
        </w:rPr>
      </w:pPr>
    </w:p>
    <w:p w14:paraId="071592F9">
      <w:pPr>
        <w:rPr>
          <w:rFonts w:ascii="宋体" w:hAnsi="宋体" w:eastAsia="宋体"/>
          <w:sz w:val="28"/>
          <w:szCs w:val="28"/>
          <w:highlight w:val="none"/>
        </w:rPr>
      </w:pPr>
    </w:p>
    <w:p w14:paraId="78631113">
      <w:pPr>
        <w:rPr>
          <w:rFonts w:ascii="宋体" w:hAnsi="宋体" w:eastAsia="宋体"/>
          <w:sz w:val="28"/>
          <w:szCs w:val="28"/>
          <w:highlight w:val="none"/>
        </w:rPr>
      </w:pPr>
    </w:p>
    <w:p w14:paraId="6F7B0341">
      <w:pPr>
        <w:rPr>
          <w:rFonts w:ascii="宋体" w:hAnsi="宋体" w:eastAsia="宋体"/>
          <w:sz w:val="28"/>
          <w:szCs w:val="28"/>
          <w:highlight w:val="none"/>
        </w:rPr>
      </w:pPr>
    </w:p>
    <w:p w14:paraId="742992CC">
      <w:pPr>
        <w:spacing w:line="360" w:lineRule="auto"/>
        <w:rPr>
          <w:rFonts w:ascii="宋体" w:hAnsi="宋体" w:eastAsia="宋体"/>
          <w:sz w:val="28"/>
          <w:szCs w:val="28"/>
          <w:highlight w:val="none"/>
        </w:rPr>
      </w:pPr>
    </w:p>
    <w:p w14:paraId="4939B4B4">
      <w:pPr>
        <w:spacing w:line="360" w:lineRule="auto"/>
        <w:ind w:firstLine="1120" w:firstLineChars="400"/>
        <w:rPr>
          <w:rFonts w:ascii="宋体" w:hAnsi="宋体" w:eastAsia="宋体"/>
          <w:sz w:val="28"/>
          <w:szCs w:val="28"/>
          <w:highlight w:val="none"/>
        </w:rPr>
      </w:pPr>
      <w:r>
        <w:rPr>
          <w:rFonts w:hint="eastAsia" w:ascii="宋体" w:hAnsi="宋体" w:eastAsia="宋体"/>
          <w:sz w:val="28"/>
          <w:szCs w:val="28"/>
          <w:highlight w:val="none"/>
        </w:rPr>
        <w:t>投标人：</w:t>
      </w:r>
      <w:r>
        <w:rPr>
          <w:rFonts w:ascii="宋体" w:hAnsi="宋体" w:eastAsia="宋体"/>
          <w:sz w:val="28"/>
          <w:szCs w:val="28"/>
          <w:highlight w:val="none"/>
          <w:u w:val="single"/>
        </w:rPr>
        <w:t xml:space="preserve">                            </w:t>
      </w:r>
      <w:r>
        <w:rPr>
          <w:rFonts w:hint="eastAsia" w:ascii="宋体" w:hAnsi="宋体" w:eastAsia="宋体"/>
          <w:sz w:val="28"/>
          <w:szCs w:val="28"/>
          <w:highlight w:val="none"/>
        </w:rPr>
        <w:t>（盖公章）</w:t>
      </w:r>
    </w:p>
    <w:p w14:paraId="3DD52DA3">
      <w:pPr>
        <w:spacing w:line="360" w:lineRule="auto"/>
        <w:ind w:firstLine="1120" w:firstLineChars="400"/>
        <w:jc w:val="left"/>
        <w:rPr>
          <w:rFonts w:ascii="宋体" w:hAnsi="宋体" w:eastAsia="宋体"/>
          <w:sz w:val="28"/>
          <w:szCs w:val="28"/>
          <w:highlight w:val="none"/>
        </w:rPr>
      </w:pPr>
      <w:r>
        <w:rPr>
          <w:rFonts w:hint="eastAsia" w:ascii="宋体" w:hAnsi="宋体" w:eastAsia="宋体"/>
          <w:sz w:val="28"/>
          <w:szCs w:val="28"/>
          <w:highlight w:val="none"/>
        </w:rPr>
        <w:t>法定代表人或其委托代理人：</w:t>
      </w:r>
      <w:r>
        <w:rPr>
          <w:rFonts w:ascii="宋体" w:hAnsi="宋体" w:eastAsia="宋体"/>
          <w:sz w:val="28"/>
          <w:szCs w:val="28"/>
          <w:highlight w:val="none"/>
          <w:u w:val="single"/>
        </w:rPr>
        <w:t xml:space="preserve">        </w:t>
      </w:r>
      <w:r>
        <w:rPr>
          <w:rFonts w:hint="eastAsia" w:ascii="宋体" w:hAnsi="宋体" w:eastAsia="宋体"/>
          <w:sz w:val="28"/>
          <w:szCs w:val="28"/>
          <w:highlight w:val="none"/>
        </w:rPr>
        <w:t>（签字或盖章）</w:t>
      </w:r>
    </w:p>
    <w:p w14:paraId="260954E5">
      <w:pPr>
        <w:jc w:val="center"/>
        <w:rPr>
          <w:rFonts w:ascii="宋体" w:hAnsi="宋体" w:eastAsia="宋体"/>
          <w:sz w:val="28"/>
          <w:szCs w:val="28"/>
          <w:highlight w:val="none"/>
        </w:rPr>
      </w:pPr>
    </w:p>
    <w:p w14:paraId="7EF4D2FA">
      <w:pPr>
        <w:spacing w:line="400" w:lineRule="exact"/>
        <w:jc w:val="center"/>
        <w:rPr>
          <w:rFonts w:ascii="宋体" w:hAnsi="宋体" w:eastAsia="宋体"/>
          <w:sz w:val="28"/>
          <w:szCs w:val="28"/>
          <w:highlight w:val="none"/>
        </w:rPr>
      </w:pPr>
      <w:r>
        <w:rPr>
          <w:rFonts w:ascii="宋体" w:hAnsi="宋体" w:eastAsia="宋体"/>
          <w:sz w:val="28"/>
          <w:szCs w:val="28"/>
          <w:highlight w:val="none"/>
          <w:u w:val="single"/>
        </w:rPr>
        <w:t xml:space="preserve">     </w:t>
      </w:r>
      <w:r>
        <w:rPr>
          <w:rFonts w:hint="eastAsia" w:ascii="宋体" w:hAnsi="宋体" w:eastAsia="宋体"/>
          <w:sz w:val="28"/>
          <w:szCs w:val="28"/>
          <w:highlight w:val="none"/>
        </w:rPr>
        <w:t>年</w:t>
      </w:r>
      <w:r>
        <w:rPr>
          <w:rFonts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ascii="宋体" w:hAnsi="宋体" w:eastAsia="宋体"/>
          <w:sz w:val="28"/>
          <w:szCs w:val="28"/>
          <w:highlight w:val="none"/>
          <w:u w:val="single"/>
        </w:rPr>
        <w:t xml:space="preserve">   </w:t>
      </w:r>
      <w:r>
        <w:rPr>
          <w:rFonts w:hint="eastAsia" w:ascii="宋体" w:hAnsi="宋体" w:eastAsia="宋体"/>
          <w:sz w:val="28"/>
          <w:szCs w:val="28"/>
          <w:highlight w:val="none"/>
        </w:rPr>
        <w:t>日</w:t>
      </w:r>
    </w:p>
    <w:p w14:paraId="1586C366">
      <w:pPr>
        <w:pStyle w:val="3"/>
        <w:rPr>
          <w:color w:val="auto"/>
          <w:highlight w:val="none"/>
        </w:rPr>
        <w:sectPr>
          <w:pgSz w:w="11906" w:h="16838"/>
          <w:pgMar w:top="1440" w:right="1417" w:bottom="1440" w:left="1417" w:header="720" w:footer="720" w:gutter="0"/>
          <w:cols w:space="0" w:num="1"/>
          <w:docGrid w:linePitch="286" w:charSpace="0"/>
        </w:sectPr>
      </w:pPr>
    </w:p>
    <w:p w14:paraId="04031DE1">
      <w:pPr>
        <w:pStyle w:val="3"/>
        <w:jc w:val="center"/>
        <w:rPr>
          <w:color w:val="auto"/>
          <w:highlight w:val="none"/>
        </w:rPr>
      </w:pPr>
      <w:bookmarkStart w:id="457" w:name="_Toc16397"/>
      <w:r>
        <w:rPr>
          <w:rFonts w:hint="eastAsia"/>
          <w:color w:val="auto"/>
          <w:highlight w:val="none"/>
        </w:rPr>
        <w:t>目</w:t>
      </w:r>
      <w:r>
        <w:rPr>
          <w:color w:val="auto"/>
          <w:highlight w:val="none"/>
        </w:rPr>
        <w:t xml:space="preserve">  </w:t>
      </w:r>
      <w:r>
        <w:rPr>
          <w:rFonts w:hint="eastAsia"/>
          <w:color w:val="auto"/>
          <w:highlight w:val="none"/>
        </w:rPr>
        <w:t>录</w:t>
      </w:r>
      <w:bookmarkEnd w:id="457"/>
    </w:p>
    <w:p w14:paraId="4B3142A7">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一、投标函及附录；</w:t>
      </w:r>
    </w:p>
    <w:p w14:paraId="3FC2EBB7">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二、法定代表人证明书及授权委托书；</w:t>
      </w:r>
    </w:p>
    <w:p w14:paraId="47720143">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三、投标报价表；</w:t>
      </w:r>
    </w:p>
    <w:p w14:paraId="45301351">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四、资格审查资料；</w:t>
      </w:r>
    </w:p>
    <w:p w14:paraId="7F563014">
      <w:pPr>
        <w:spacing w:line="360" w:lineRule="auto"/>
        <w:ind w:firstLine="480" w:firstLineChars="200"/>
        <w:rPr>
          <w:rFonts w:ascii="宋体" w:hAnsi="宋体"/>
          <w:sz w:val="24"/>
          <w:szCs w:val="24"/>
          <w:highlight w:val="none"/>
        </w:rPr>
      </w:pPr>
      <w:r>
        <w:rPr>
          <w:rFonts w:hint="eastAsia" w:ascii="宋体" w:hAnsi="宋体" w:eastAsia="宋体"/>
          <w:sz w:val="24"/>
          <w:szCs w:val="24"/>
          <w:highlight w:val="none"/>
        </w:rPr>
        <w:t>五、投标人声明</w:t>
      </w:r>
    </w:p>
    <w:p w14:paraId="14AC3B5A">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六、商务部分证明材料；</w:t>
      </w:r>
    </w:p>
    <w:p w14:paraId="688F1206">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七、技术服务方案；</w:t>
      </w:r>
    </w:p>
    <w:p w14:paraId="4DDDF084">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八、其他资料。</w:t>
      </w:r>
    </w:p>
    <w:p w14:paraId="07C523D3">
      <w:pPr>
        <w:widowControl/>
        <w:jc w:val="left"/>
        <w:rPr>
          <w:rFonts w:ascii="宋体" w:hAnsi="宋体" w:eastAsia="宋体" w:cs="Times New Roman"/>
          <w:b/>
          <w:sz w:val="30"/>
          <w:szCs w:val="30"/>
          <w:highlight w:val="none"/>
        </w:rPr>
      </w:pPr>
      <w:bookmarkStart w:id="458" w:name="_Toc533084443"/>
      <w:r>
        <w:rPr>
          <w:rFonts w:ascii="宋体" w:hAnsi="宋体" w:eastAsia="宋体"/>
          <w:highlight w:val="none"/>
        </w:rPr>
        <w:br w:type="page"/>
      </w:r>
    </w:p>
    <w:p w14:paraId="70C579AC">
      <w:pPr>
        <w:pStyle w:val="3"/>
        <w:rPr>
          <w:color w:val="auto"/>
          <w:highlight w:val="none"/>
        </w:rPr>
      </w:pPr>
      <w:bookmarkStart w:id="459" w:name="_Toc30773"/>
      <w:r>
        <w:rPr>
          <w:rFonts w:hint="eastAsia"/>
          <w:color w:val="auto"/>
          <w:highlight w:val="none"/>
        </w:rPr>
        <w:t>一、投标函及附</w:t>
      </w:r>
      <w:bookmarkEnd w:id="458"/>
      <w:r>
        <w:rPr>
          <w:rFonts w:hint="eastAsia"/>
          <w:color w:val="auto"/>
          <w:highlight w:val="none"/>
        </w:rPr>
        <w:t>录</w:t>
      </w:r>
      <w:bookmarkEnd w:id="459"/>
    </w:p>
    <w:p w14:paraId="508E7678">
      <w:pPr>
        <w:pStyle w:val="4"/>
        <w:keepNext w:val="0"/>
        <w:keepLines w:val="0"/>
        <w:spacing w:before="120" w:after="120" w:line="360" w:lineRule="auto"/>
        <w:ind w:firstLine="0" w:firstLineChars="0"/>
        <w:jc w:val="center"/>
        <w:rPr>
          <w:rFonts w:ascii="宋体" w:hAnsi="宋体" w:eastAsia="宋体"/>
          <w:highlight w:val="none"/>
        </w:rPr>
      </w:pPr>
      <w:bookmarkStart w:id="460" w:name="_Toc12610"/>
      <w:bookmarkStart w:id="461" w:name="_Toc533084444"/>
      <w:r>
        <w:rPr>
          <w:rFonts w:hint="eastAsia" w:ascii="宋体" w:hAnsi="宋体" w:eastAsia="宋体"/>
          <w:highlight w:val="none"/>
        </w:rPr>
        <w:t>（一）投标函</w:t>
      </w:r>
      <w:bookmarkEnd w:id="460"/>
      <w:bookmarkEnd w:id="461"/>
    </w:p>
    <w:p w14:paraId="6E31CF18">
      <w:pPr>
        <w:spacing w:line="360" w:lineRule="auto"/>
        <w:rPr>
          <w:rFonts w:ascii="宋体" w:hAnsi="宋体" w:eastAsia="宋体"/>
          <w:highlight w:val="none"/>
        </w:rPr>
      </w:pPr>
      <w:r>
        <w:rPr>
          <w:rFonts w:hint="eastAsia" w:ascii="宋体" w:hAnsi="宋体" w:eastAsia="宋体"/>
          <w:highlight w:val="none"/>
        </w:rPr>
        <w:t>致招标人：</w:t>
      </w:r>
    </w:p>
    <w:p w14:paraId="08093DBE">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1.经考察现场并研究贵单位提供的有关资料后，我单位愿以：总报价¥</w:t>
      </w:r>
      <w:r>
        <w:rPr>
          <w:rFonts w:ascii="宋体" w:hAnsi="宋体" w:eastAsia="宋体"/>
          <w:highlight w:val="none"/>
          <w:u w:val="single"/>
        </w:rPr>
        <w:t xml:space="preserve"> 　　　</w:t>
      </w:r>
      <w:r>
        <w:rPr>
          <w:rFonts w:hint="eastAsia" w:ascii="宋体" w:hAnsi="宋体" w:eastAsia="宋体"/>
          <w:highlight w:val="none"/>
        </w:rPr>
        <w:t>元（大写：</w:t>
      </w:r>
      <w:r>
        <w:rPr>
          <w:rFonts w:hint="eastAsia" w:ascii="宋体" w:hAnsi="宋体" w:eastAsia="宋体"/>
          <w:highlight w:val="none"/>
          <w:u w:val="single"/>
        </w:rPr>
        <w:t>　　　　　</w:t>
      </w:r>
      <w:r>
        <w:rPr>
          <w:rFonts w:hint="eastAsia" w:ascii="宋体" w:hAnsi="宋体" w:eastAsia="宋体"/>
          <w:highlight w:val="none"/>
        </w:rPr>
        <w:t>），并按招标文件和合同规定的工期，完成</w:t>
      </w:r>
      <w:r>
        <w:rPr>
          <w:rFonts w:ascii="宋体" w:hAnsi="宋体" w:eastAsia="宋体"/>
          <w:highlight w:val="none"/>
          <w:u w:val="single"/>
        </w:rPr>
        <w:t xml:space="preserve">                   </w:t>
      </w:r>
      <w:r>
        <w:rPr>
          <w:rFonts w:hint="eastAsia" w:ascii="宋体" w:hAnsi="宋体" w:eastAsia="宋体"/>
          <w:highlight w:val="none"/>
        </w:rPr>
        <w:t>（项目名称）的全部工作内容。</w:t>
      </w:r>
    </w:p>
    <w:p w14:paraId="41377350">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2.我方完全愿意接受本项目招标文件中的合同条款，如我方中标，我们将在招标人要求的时间内签订技术服务合同。若投标文件不符合招标文件要求，按招标文件要求签署技术服务合同。</w:t>
      </w:r>
    </w:p>
    <w:p w14:paraId="06475C60">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3.我单位承诺，如果我单位中标，我单位将为上述工作提供不少于本投标书技术服务方案中所注明的投入本项目的设备、仪器、软件以及项目管理人员和技术人员等。</w:t>
      </w:r>
    </w:p>
    <w:p w14:paraId="3BF8F2E7">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4.我单位同意在规定的投标有效期</w:t>
      </w:r>
      <w:r>
        <w:rPr>
          <w:rFonts w:ascii="宋体" w:hAnsi="宋体" w:eastAsia="宋体"/>
          <w:highlight w:val="none"/>
          <w:u w:val="single"/>
        </w:rPr>
        <w:t xml:space="preserve"> </w:t>
      </w:r>
      <w:r>
        <w:rPr>
          <w:rFonts w:ascii="宋体" w:hAnsi="宋体" w:eastAsia="宋体"/>
          <w:b/>
          <w:highlight w:val="none"/>
          <w:u w:val="single"/>
        </w:rPr>
        <w:t>90</w:t>
      </w:r>
      <w:r>
        <w:rPr>
          <w:rFonts w:ascii="宋体" w:hAnsi="宋体" w:eastAsia="宋体"/>
          <w:highlight w:val="none"/>
          <w:u w:val="single"/>
        </w:rPr>
        <w:t xml:space="preserve"> </w:t>
      </w:r>
      <w:r>
        <w:rPr>
          <w:rFonts w:hint="eastAsia" w:ascii="宋体" w:hAnsi="宋体" w:eastAsia="宋体"/>
          <w:highlight w:val="none"/>
        </w:rPr>
        <w:t>天内严格遵守本投标书，本投标书对我单位始终有约束力，且随时可能按此投标书中标。</w:t>
      </w:r>
    </w:p>
    <w:p w14:paraId="274916D9">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5.我单位若在报价有效期内我们违反上述责任中的任一条，招标人有权要求我单位承担由此所造成招标人损失的一切费用。</w:t>
      </w:r>
    </w:p>
    <w:p w14:paraId="672E9277">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6.如我方中标，我方承诺，满足“委托人要求”中的所有内容。</w:t>
      </w:r>
    </w:p>
    <w:p w14:paraId="79B35F7C">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7.我方属于非联合体投标。</w:t>
      </w:r>
    </w:p>
    <w:p w14:paraId="6F0F1CD0">
      <w:pPr>
        <w:spacing w:line="360" w:lineRule="auto"/>
        <w:ind w:firstLine="420" w:firstLineChars="200"/>
        <w:rPr>
          <w:rFonts w:ascii="宋体" w:hAnsi="宋体" w:eastAsia="宋体"/>
          <w:highlight w:val="none"/>
        </w:rPr>
      </w:pPr>
      <w:r>
        <w:rPr>
          <w:rFonts w:hint="eastAsia" w:ascii="宋体" w:hAnsi="宋体" w:eastAsia="宋体"/>
          <w:highlight w:val="none"/>
        </w:rPr>
        <w:t>我方理解，贵单位不一定接受最低标价的投标或贵单位可能接受其他任何单位中标，同时也理解贵单位不负担我单位的任何投标费用。</w:t>
      </w:r>
    </w:p>
    <w:p w14:paraId="55DEB50A">
      <w:pPr>
        <w:spacing w:line="312" w:lineRule="auto"/>
        <w:ind w:firstLine="2520" w:firstLineChars="1200"/>
        <w:jc w:val="left"/>
        <w:rPr>
          <w:rFonts w:ascii="宋体" w:hAnsi="宋体" w:eastAsia="宋体"/>
          <w:highlight w:val="none"/>
        </w:rPr>
      </w:pPr>
    </w:p>
    <w:p w14:paraId="4DDB4ED8">
      <w:pPr>
        <w:spacing w:line="312" w:lineRule="auto"/>
        <w:ind w:firstLine="2520" w:firstLineChars="1200"/>
        <w:jc w:val="left"/>
        <w:rPr>
          <w:rFonts w:ascii="宋体" w:hAnsi="宋体" w:eastAsia="宋体"/>
          <w:highlight w:val="none"/>
        </w:rPr>
      </w:pPr>
      <w:r>
        <w:rPr>
          <w:rFonts w:hint="eastAsia" w:ascii="宋体" w:hAnsi="宋体" w:eastAsia="宋体"/>
          <w:highlight w:val="none"/>
        </w:rPr>
        <w:t>投</w:t>
      </w:r>
      <w:r>
        <w:rPr>
          <w:rFonts w:ascii="宋体" w:hAnsi="宋体" w:eastAsia="宋体"/>
          <w:highlight w:val="none"/>
        </w:rPr>
        <w:t xml:space="preserve"> 标 人：                      </w:t>
      </w:r>
      <w:r>
        <w:rPr>
          <w:rFonts w:ascii="宋体" w:hAnsi="宋体" w:eastAsia="宋体"/>
          <w:highlight w:val="none"/>
        </w:rPr>
        <w:tab/>
      </w:r>
      <w:r>
        <w:rPr>
          <w:rFonts w:hint="eastAsia" w:ascii="宋体" w:hAnsi="宋体" w:eastAsia="宋体"/>
          <w:highlight w:val="none"/>
        </w:rPr>
        <w:t>（盖公章）</w:t>
      </w:r>
    </w:p>
    <w:p w14:paraId="1F0704E0">
      <w:pPr>
        <w:spacing w:line="312" w:lineRule="auto"/>
        <w:jc w:val="left"/>
        <w:rPr>
          <w:rFonts w:ascii="宋体" w:hAnsi="宋体" w:eastAsia="宋体"/>
          <w:highlight w:val="none"/>
        </w:rPr>
      </w:pPr>
      <w:r>
        <w:rPr>
          <w:rFonts w:ascii="宋体" w:hAnsi="宋体" w:eastAsia="宋体"/>
          <w:highlight w:val="none"/>
        </w:rPr>
        <w:t xml:space="preserve">                   </w:t>
      </w:r>
      <w:r>
        <w:rPr>
          <w:rFonts w:hint="eastAsia" w:ascii="宋体" w:hAnsi="宋体" w:eastAsia="宋体"/>
          <w:highlight w:val="none"/>
        </w:rPr>
        <w:t xml:space="preserve"> </w:t>
      </w:r>
    </w:p>
    <w:p w14:paraId="7C745237">
      <w:pPr>
        <w:spacing w:line="312" w:lineRule="auto"/>
        <w:ind w:firstLine="2520" w:firstLineChars="1200"/>
        <w:jc w:val="left"/>
        <w:rPr>
          <w:rFonts w:ascii="宋体" w:hAnsi="宋体" w:eastAsia="宋体"/>
          <w:highlight w:val="none"/>
        </w:rPr>
      </w:pPr>
      <w:r>
        <w:rPr>
          <w:rFonts w:hint="eastAsia" w:ascii="宋体" w:hAnsi="宋体" w:eastAsia="宋体"/>
          <w:highlight w:val="none"/>
        </w:rPr>
        <w:t>地</w:t>
      </w:r>
      <w:r>
        <w:rPr>
          <w:rFonts w:ascii="宋体" w:hAnsi="宋体" w:eastAsia="宋体"/>
          <w:highlight w:val="none"/>
        </w:rPr>
        <w:t xml:space="preserve">    </w:t>
      </w:r>
      <w:r>
        <w:rPr>
          <w:rFonts w:hint="eastAsia" w:ascii="宋体" w:hAnsi="宋体" w:eastAsia="宋体"/>
          <w:highlight w:val="none"/>
        </w:rPr>
        <w:t>址：</w:t>
      </w:r>
      <w:r>
        <w:rPr>
          <w:rFonts w:ascii="宋体" w:hAnsi="宋体" w:eastAsia="宋体"/>
          <w:highlight w:val="none"/>
        </w:rPr>
        <w:tab/>
      </w:r>
      <w:r>
        <w:rPr>
          <w:rFonts w:ascii="宋体" w:hAnsi="宋体" w:eastAsia="宋体"/>
          <w:highlight w:val="none"/>
        </w:rPr>
        <w:t xml:space="preserve">                      </w:t>
      </w:r>
    </w:p>
    <w:p w14:paraId="1A68E96B">
      <w:pPr>
        <w:spacing w:line="312" w:lineRule="auto"/>
        <w:ind w:firstLine="2520" w:firstLineChars="1200"/>
        <w:jc w:val="left"/>
        <w:rPr>
          <w:rFonts w:ascii="宋体" w:hAnsi="宋体" w:eastAsia="宋体"/>
          <w:highlight w:val="none"/>
        </w:rPr>
      </w:pPr>
      <w:r>
        <w:rPr>
          <w:rFonts w:hint="eastAsia" w:ascii="宋体" w:hAnsi="宋体" w:eastAsia="宋体"/>
          <w:highlight w:val="none"/>
        </w:rPr>
        <w:t xml:space="preserve"> </w:t>
      </w:r>
    </w:p>
    <w:p w14:paraId="7D1F5800">
      <w:pPr>
        <w:spacing w:line="312" w:lineRule="auto"/>
        <w:ind w:firstLine="2520" w:firstLineChars="1200"/>
        <w:jc w:val="left"/>
        <w:rPr>
          <w:rFonts w:ascii="宋体" w:hAnsi="宋体" w:eastAsia="宋体"/>
          <w:highlight w:val="none"/>
        </w:rPr>
      </w:pPr>
      <w:r>
        <w:rPr>
          <w:rFonts w:hint="eastAsia" w:ascii="宋体" w:hAnsi="宋体" w:eastAsia="宋体"/>
          <w:highlight w:val="none"/>
        </w:rPr>
        <w:t>电</w:t>
      </w:r>
      <w:r>
        <w:rPr>
          <w:rFonts w:ascii="宋体" w:hAnsi="宋体" w:eastAsia="宋体"/>
          <w:highlight w:val="none"/>
        </w:rPr>
        <w:t xml:space="preserve">    </w:t>
      </w:r>
      <w:r>
        <w:rPr>
          <w:rFonts w:hint="eastAsia" w:ascii="宋体" w:hAnsi="宋体" w:eastAsia="宋体"/>
          <w:highlight w:val="none"/>
        </w:rPr>
        <w:t>话：</w:t>
      </w:r>
      <w:r>
        <w:rPr>
          <w:rFonts w:ascii="宋体" w:hAnsi="宋体" w:eastAsia="宋体"/>
          <w:highlight w:val="none"/>
        </w:rPr>
        <w:tab/>
      </w:r>
      <w:r>
        <w:rPr>
          <w:rFonts w:ascii="宋体" w:hAnsi="宋体" w:eastAsia="宋体"/>
          <w:highlight w:val="none"/>
        </w:rPr>
        <w:t xml:space="preserve">                      </w:t>
      </w:r>
    </w:p>
    <w:p w14:paraId="12B95E29">
      <w:pPr>
        <w:spacing w:line="312" w:lineRule="auto"/>
        <w:ind w:firstLine="2520" w:firstLineChars="1200"/>
        <w:jc w:val="left"/>
        <w:rPr>
          <w:rFonts w:ascii="宋体" w:hAnsi="宋体" w:eastAsia="宋体"/>
          <w:highlight w:val="none"/>
        </w:rPr>
      </w:pPr>
      <w:r>
        <w:rPr>
          <w:rFonts w:hint="eastAsia" w:ascii="宋体" w:hAnsi="宋体" w:eastAsia="宋体"/>
          <w:highlight w:val="none"/>
        </w:rPr>
        <w:t xml:space="preserve"> </w:t>
      </w:r>
    </w:p>
    <w:p w14:paraId="1D0A15F5">
      <w:pPr>
        <w:spacing w:line="312" w:lineRule="auto"/>
        <w:ind w:firstLine="2520" w:firstLineChars="1200"/>
        <w:jc w:val="left"/>
        <w:rPr>
          <w:rFonts w:ascii="宋体" w:hAnsi="宋体" w:eastAsia="宋体"/>
          <w:highlight w:val="none"/>
        </w:rPr>
      </w:pPr>
      <w:r>
        <w:rPr>
          <w:rFonts w:ascii="宋体" w:hAnsi="宋体" w:eastAsia="宋体"/>
          <w:highlight w:val="none"/>
        </w:rPr>
        <w:t xml:space="preserve">    　　　　　　　　　 年    月    日</w:t>
      </w:r>
    </w:p>
    <w:p w14:paraId="4F1C1FE3">
      <w:pPr>
        <w:widowControl/>
        <w:jc w:val="left"/>
        <w:rPr>
          <w:rFonts w:ascii="宋体" w:hAnsi="宋体" w:eastAsia="宋体"/>
          <w:highlight w:val="none"/>
        </w:rPr>
      </w:pPr>
      <w:r>
        <w:rPr>
          <w:rFonts w:ascii="宋体" w:hAnsi="宋体" w:eastAsia="宋体"/>
          <w:highlight w:val="none"/>
        </w:rPr>
        <w:br w:type="page"/>
      </w:r>
    </w:p>
    <w:p w14:paraId="350EE472">
      <w:pPr>
        <w:pStyle w:val="4"/>
        <w:keepNext w:val="0"/>
        <w:keepLines w:val="0"/>
        <w:pageBreakBefore/>
        <w:spacing w:before="120" w:after="120" w:line="360" w:lineRule="auto"/>
        <w:ind w:firstLine="0" w:firstLineChars="0"/>
        <w:jc w:val="center"/>
        <w:rPr>
          <w:rFonts w:ascii="宋体" w:hAnsi="宋体" w:eastAsia="宋体"/>
          <w:highlight w:val="none"/>
        </w:rPr>
      </w:pPr>
      <w:bookmarkStart w:id="462" w:name="_Toc31742"/>
      <w:bookmarkStart w:id="463" w:name="_Toc533084445"/>
      <w:r>
        <w:rPr>
          <w:rFonts w:hint="eastAsia" w:ascii="宋体" w:hAnsi="宋体" w:eastAsia="宋体"/>
          <w:highlight w:val="none"/>
        </w:rPr>
        <w:t>（二）投标函附录</w:t>
      </w:r>
      <w:bookmarkEnd w:id="462"/>
      <w:bookmarkEnd w:id="463"/>
    </w:p>
    <w:tbl>
      <w:tblPr>
        <w:tblStyle w:val="28"/>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00"/>
      </w:tblGrid>
      <w:tr w14:paraId="4CE3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14:paraId="73A922AE">
            <w:pPr>
              <w:jc w:val="center"/>
              <w:rPr>
                <w:rFonts w:ascii="宋体" w:hAnsi="宋体" w:eastAsia="宋体"/>
                <w:highlight w:val="none"/>
              </w:rPr>
            </w:pPr>
            <w:r>
              <w:rPr>
                <w:rFonts w:hint="eastAsia" w:ascii="宋体" w:hAnsi="宋体" w:eastAsia="宋体"/>
                <w:highlight w:val="none"/>
              </w:rPr>
              <w:t>项</w:t>
            </w:r>
            <w:r>
              <w:rPr>
                <w:rFonts w:ascii="宋体" w:hAnsi="宋体" w:eastAsia="宋体"/>
                <w:highlight w:val="none"/>
              </w:rPr>
              <w:t xml:space="preserve">    </w:t>
            </w:r>
            <w:r>
              <w:rPr>
                <w:rFonts w:hint="eastAsia" w:ascii="宋体" w:hAnsi="宋体" w:eastAsia="宋体"/>
                <w:highlight w:val="none"/>
              </w:rPr>
              <w:t>目</w:t>
            </w:r>
          </w:p>
        </w:tc>
        <w:tc>
          <w:tcPr>
            <w:tcW w:w="6300" w:type="dxa"/>
            <w:vAlign w:val="center"/>
          </w:tcPr>
          <w:p w14:paraId="1DDFBBCA">
            <w:pPr>
              <w:jc w:val="center"/>
              <w:rPr>
                <w:rFonts w:ascii="宋体" w:hAnsi="宋体" w:eastAsia="宋体"/>
                <w:highlight w:val="none"/>
              </w:rPr>
            </w:pPr>
            <w:r>
              <w:rPr>
                <w:rFonts w:hint="eastAsia" w:ascii="宋体" w:hAnsi="宋体" w:eastAsia="宋体"/>
                <w:highlight w:val="none"/>
              </w:rPr>
              <w:t>内</w:t>
            </w:r>
            <w:r>
              <w:rPr>
                <w:rFonts w:ascii="宋体" w:hAnsi="宋体" w:eastAsia="宋体"/>
                <w:highlight w:val="none"/>
              </w:rPr>
              <w:t xml:space="preserve">    </w:t>
            </w:r>
            <w:r>
              <w:rPr>
                <w:rFonts w:hint="eastAsia" w:ascii="宋体" w:hAnsi="宋体" w:eastAsia="宋体"/>
                <w:highlight w:val="none"/>
              </w:rPr>
              <w:t>容</w:t>
            </w:r>
          </w:p>
        </w:tc>
      </w:tr>
      <w:tr w14:paraId="14DF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14:paraId="25C39C55">
            <w:pPr>
              <w:spacing w:line="276" w:lineRule="auto"/>
              <w:jc w:val="center"/>
              <w:rPr>
                <w:rFonts w:ascii="宋体" w:hAnsi="宋体" w:eastAsia="宋体"/>
                <w:highlight w:val="none"/>
              </w:rPr>
            </w:pPr>
            <w:r>
              <w:rPr>
                <w:rFonts w:ascii="宋体" w:hAnsi="宋体" w:eastAsia="宋体"/>
                <w:szCs w:val="21"/>
                <w:highlight w:val="none"/>
              </w:rPr>
              <w:t>投标报价</w:t>
            </w:r>
          </w:p>
        </w:tc>
        <w:tc>
          <w:tcPr>
            <w:tcW w:w="6300" w:type="dxa"/>
            <w:vAlign w:val="center"/>
          </w:tcPr>
          <w:p w14:paraId="65ABE37A">
            <w:pPr>
              <w:spacing w:line="276" w:lineRule="auto"/>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u w:val="single"/>
              </w:rPr>
              <w:t xml:space="preserve">                         </w:t>
            </w:r>
            <w:r>
              <w:rPr>
                <w:rFonts w:hint="eastAsia" w:ascii="宋体" w:hAnsi="宋体" w:eastAsia="宋体"/>
                <w:highlight w:val="none"/>
              </w:rPr>
              <w:t>元</w:t>
            </w:r>
          </w:p>
          <w:p w14:paraId="7D1845FF">
            <w:pPr>
              <w:spacing w:line="276" w:lineRule="auto"/>
              <w:rPr>
                <w:rFonts w:ascii="宋体" w:hAnsi="宋体" w:eastAsia="宋体"/>
                <w:highlight w:val="none"/>
              </w:rPr>
            </w:pPr>
            <w:r>
              <w:rPr>
                <w:rFonts w:ascii="宋体" w:hAnsi="宋体" w:eastAsia="宋体"/>
                <w:szCs w:val="21"/>
                <w:highlight w:val="none"/>
              </w:rPr>
              <w:t>符合第二章“投标人须知”第3.2款规定</w:t>
            </w:r>
            <w:r>
              <w:rPr>
                <w:rFonts w:hint="eastAsia" w:ascii="宋体" w:hAnsi="宋体" w:eastAsia="宋体"/>
                <w:szCs w:val="21"/>
                <w:highlight w:val="none"/>
              </w:rPr>
              <w:t>进行投标报价。</w:t>
            </w:r>
          </w:p>
        </w:tc>
      </w:tr>
      <w:tr w14:paraId="05C0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14:paraId="0EE9A80F">
            <w:pPr>
              <w:spacing w:line="276" w:lineRule="auto"/>
              <w:jc w:val="center"/>
              <w:rPr>
                <w:rFonts w:ascii="宋体" w:hAnsi="宋体" w:eastAsia="宋体"/>
                <w:highlight w:val="none"/>
              </w:rPr>
            </w:pPr>
            <w:r>
              <w:rPr>
                <w:rFonts w:ascii="宋体" w:hAnsi="宋体" w:eastAsia="宋体"/>
                <w:szCs w:val="21"/>
                <w:highlight w:val="none"/>
              </w:rPr>
              <w:t>投标内容</w:t>
            </w:r>
          </w:p>
        </w:tc>
        <w:tc>
          <w:tcPr>
            <w:tcW w:w="6300" w:type="dxa"/>
            <w:vAlign w:val="center"/>
          </w:tcPr>
          <w:p w14:paraId="205AB389">
            <w:pPr>
              <w:spacing w:line="276" w:lineRule="auto"/>
              <w:jc w:val="left"/>
              <w:rPr>
                <w:rFonts w:ascii="宋体" w:hAnsi="宋体" w:eastAsia="宋体"/>
                <w:highlight w:val="none"/>
              </w:rPr>
            </w:pPr>
            <w:r>
              <w:rPr>
                <w:rFonts w:hint="eastAsia" w:ascii="宋体" w:hAnsi="宋体" w:eastAsia="宋体"/>
                <w:szCs w:val="21"/>
                <w:highlight w:val="none"/>
              </w:rPr>
              <w:t>符合第二章“投标人须知”第</w:t>
            </w:r>
            <w:r>
              <w:rPr>
                <w:rFonts w:ascii="宋体" w:hAnsi="宋体" w:eastAsia="宋体"/>
                <w:szCs w:val="21"/>
                <w:highlight w:val="none"/>
              </w:rPr>
              <w:t>1.3.1项规定。</w:t>
            </w:r>
          </w:p>
        </w:tc>
      </w:tr>
      <w:tr w14:paraId="39D4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14:paraId="2C89200F">
            <w:pPr>
              <w:jc w:val="center"/>
              <w:rPr>
                <w:rFonts w:ascii="宋体" w:hAnsi="宋体" w:eastAsia="宋体"/>
                <w:highlight w:val="none"/>
              </w:rPr>
            </w:pPr>
            <w:r>
              <w:rPr>
                <w:rFonts w:hint="eastAsia" w:ascii="宋体" w:hAnsi="宋体" w:eastAsia="宋体"/>
                <w:highlight w:val="none"/>
              </w:rPr>
              <w:t>服务期限</w:t>
            </w:r>
          </w:p>
        </w:tc>
        <w:tc>
          <w:tcPr>
            <w:tcW w:w="6300" w:type="dxa"/>
            <w:vAlign w:val="center"/>
          </w:tcPr>
          <w:p w14:paraId="343E9D2F">
            <w:pPr>
              <w:jc w:val="center"/>
              <w:rPr>
                <w:rFonts w:ascii="宋体" w:hAnsi="宋体" w:eastAsia="宋体"/>
                <w:highlight w:val="none"/>
              </w:rPr>
            </w:pPr>
            <w:r>
              <w:rPr>
                <w:rFonts w:hint="eastAsia" w:ascii="宋体" w:hAnsi="宋体" w:eastAsia="宋体"/>
                <w:highlight w:val="none"/>
              </w:rPr>
              <w:t>按招标文件要求</w:t>
            </w:r>
          </w:p>
        </w:tc>
      </w:tr>
      <w:tr w14:paraId="292F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14:paraId="520A5C1F">
            <w:pPr>
              <w:jc w:val="center"/>
              <w:rPr>
                <w:rFonts w:ascii="宋体" w:hAnsi="宋体" w:eastAsia="宋体"/>
                <w:highlight w:val="none"/>
              </w:rPr>
            </w:pPr>
            <w:r>
              <w:rPr>
                <w:rFonts w:hint="eastAsia" w:ascii="宋体" w:hAnsi="宋体" w:eastAsia="宋体"/>
                <w:highlight w:val="none"/>
              </w:rPr>
              <w:t>质量要求</w:t>
            </w:r>
          </w:p>
        </w:tc>
        <w:tc>
          <w:tcPr>
            <w:tcW w:w="6300" w:type="dxa"/>
            <w:vAlign w:val="center"/>
          </w:tcPr>
          <w:p w14:paraId="669B4458">
            <w:pPr>
              <w:jc w:val="center"/>
              <w:rPr>
                <w:rFonts w:ascii="宋体" w:hAnsi="宋体" w:eastAsia="宋体"/>
                <w:highlight w:val="none"/>
              </w:rPr>
            </w:pPr>
            <w:r>
              <w:rPr>
                <w:rFonts w:hint="eastAsia" w:ascii="宋体" w:hAnsi="宋体" w:eastAsia="宋体"/>
                <w:highlight w:val="none"/>
              </w:rPr>
              <w:t>按招标文件要求</w:t>
            </w:r>
          </w:p>
        </w:tc>
      </w:tr>
      <w:tr w14:paraId="48D9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Merge w:val="restart"/>
            <w:tcBorders>
              <w:top w:val="single" w:color="auto" w:sz="4" w:space="0"/>
              <w:left w:val="single" w:color="auto" w:sz="4" w:space="0"/>
              <w:right w:val="single" w:color="auto" w:sz="4" w:space="0"/>
            </w:tcBorders>
            <w:vAlign w:val="center"/>
          </w:tcPr>
          <w:p w14:paraId="6C6D86D4">
            <w:pPr>
              <w:jc w:val="center"/>
              <w:rPr>
                <w:rFonts w:ascii="宋体" w:hAnsi="宋体" w:eastAsia="宋体"/>
                <w:highlight w:val="none"/>
              </w:rPr>
            </w:pPr>
            <w:r>
              <w:rPr>
                <w:rFonts w:hint="eastAsia" w:ascii="宋体" w:hAnsi="宋体" w:eastAsia="宋体"/>
                <w:highlight w:val="none"/>
              </w:rPr>
              <w:t>项目负责人</w:t>
            </w:r>
          </w:p>
        </w:tc>
        <w:tc>
          <w:tcPr>
            <w:tcW w:w="6300" w:type="dxa"/>
            <w:tcBorders>
              <w:top w:val="single" w:color="auto" w:sz="4" w:space="0"/>
              <w:left w:val="single" w:color="auto" w:sz="4" w:space="0"/>
              <w:bottom w:val="single" w:color="auto" w:sz="4" w:space="0"/>
              <w:right w:val="single" w:color="auto" w:sz="4" w:space="0"/>
            </w:tcBorders>
            <w:vAlign w:val="center"/>
          </w:tcPr>
          <w:p w14:paraId="7EC35F2E">
            <w:pPr>
              <w:rPr>
                <w:rFonts w:ascii="宋体" w:hAnsi="宋体" w:eastAsia="宋体"/>
                <w:highlight w:val="none"/>
              </w:rPr>
            </w:pPr>
            <w:r>
              <w:rPr>
                <w:rFonts w:hint="eastAsia" w:ascii="宋体" w:hAnsi="宋体" w:eastAsia="宋体"/>
                <w:highlight w:val="none"/>
              </w:rPr>
              <w:t>姓名：</w:t>
            </w:r>
          </w:p>
        </w:tc>
      </w:tr>
      <w:tr w14:paraId="562B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Merge w:val="continue"/>
            <w:tcBorders>
              <w:left w:val="single" w:color="auto" w:sz="4" w:space="0"/>
              <w:right w:val="single" w:color="auto" w:sz="4" w:space="0"/>
            </w:tcBorders>
            <w:vAlign w:val="center"/>
          </w:tcPr>
          <w:p w14:paraId="422CC94A">
            <w:pPr>
              <w:jc w:val="center"/>
              <w:rPr>
                <w:rFonts w:ascii="宋体" w:hAnsi="宋体" w:eastAsia="宋体"/>
                <w:highlight w:val="none"/>
              </w:rPr>
            </w:pPr>
          </w:p>
        </w:tc>
        <w:tc>
          <w:tcPr>
            <w:tcW w:w="6300" w:type="dxa"/>
            <w:tcBorders>
              <w:top w:val="single" w:color="auto" w:sz="4" w:space="0"/>
              <w:left w:val="single" w:color="auto" w:sz="4" w:space="0"/>
              <w:bottom w:val="single" w:color="auto" w:sz="4" w:space="0"/>
              <w:right w:val="single" w:color="auto" w:sz="4" w:space="0"/>
            </w:tcBorders>
            <w:vAlign w:val="center"/>
          </w:tcPr>
          <w:p w14:paraId="7B882BD9">
            <w:pPr>
              <w:rPr>
                <w:rFonts w:ascii="宋体" w:hAnsi="宋体" w:eastAsia="宋体"/>
                <w:highlight w:val="none"/>
              </w:rPr>
            </w:pPr>
            <w:r>
              <w:rPr>
                <w:rFonts w:hint="eastAsia" w:ascii="宋体" w:hAnsi="宋体" w:eastAsia="宋体"/>
                <w:highlight w:val="none"/>
              </w:rPr>
              <w:t>技术职称：</w:t>
            </w:r>
          </w:p>
        </w:tc>
      </w:tr>
      <w:tr w14:paraId="12DD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Merge w:val="continue"/>
            <w:tcBorders>
              <w:left w:val="single" w:color="auto" w:sz="4" w:space="0"/>
              <w:right w:val="single" w:color="auto" w:sz="4" w:space="0"/>
            </w:tcBorders>
            <w:vAlign w:val="center"/>
          </w:tcPr>
          <w:p w14:paraId="792A332D">
            <w:pPr>
              <w:jc w:val="center"/>
              <w:rPr>
                <w:rFonts w:ascii="宋体" w:hAnsi="宋体" w:eastAsia="宋体"/>
                <w:highlight w:val="none"/>
              </w:rPr>
            </w:pPr>
          </w:p>
        </w:tc>
        <w:tc>
          <w:tcPr>
            <w:tcW w:w="6300" w:type="dxa"/>
            <w:tcBorders>
              <w:top w:val="single" w:color="auto" w:sz="4" w:space="0"/>
              <w:left w:val="single" w:color="auto" w:sz="4" w:space="0"/>
              <w:bottom w:val="single" w:color="auto" w:sz="4" w:space="0"/>
              <w:right w:val="single" w:color="auto" w:sz="4" w:space="0"/>
            </w:tcBorders>
            <w:vAlign w:val="center"/>
          </w:tcPr>
          <w:p w14:paraId="018FB0C5">
            <w:pPr>
              <w:rPr>
                <w:rFonts w:ascii="宋体" w:hAnsi="宋体" w:eastAsia="宋体"/>
                <w:highlight w:val="none"/>
              </w:rPr>
            </w:pPr>
            <w:r>
              <w:rPr>
                <w:rFonts w:hint="eastAsia" w:ascii="宋体" w:hAnsi="宋体" w:eastAsia="宋体"/>
                <w:highlight w:val="none"/>
              </w:rPr>
              <w:t>身份证号码：</w:t>
            </w:r>
          </w:p>
        </w:tc>
      </w:tr>
      <w:tr w14:paraId="2F57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0" w:type="dxa"/>
            <w:gridSpan w:val="2"/>
            <w:tcBorders>
              <w:left w:val="single" w:color="auto" w:sz="4" w:space="0"/>
              <w:bottom w:val="single" w:color="auto" w:sz="4" w:space="0"/>
              <w:right w:val="single" w:color="auto" w:sz="4" w:space="0"/>
            </w:tcBorders>
            <w:vAlign w:val="center"/>
          </w:tcPr>
          <w:p w14:paraId="7348C407">
            <w:pPr>
              <w:jc w:val="left"/>
              <w:rPr>
                <w:rFonts w:ascii="宋体" w:hAnsi="宋体" w:eastAsia="宋体"/>
                <w:highlight w:val="none"/>
              </w:rPr>
            </w:pPr>
            <w:r>
              <w:rPr>
                <w:rFonts w:hint="eastAsia" w:ascii="宋体" w:hAnsi="宋体" w:eastAsia="宋体"/>
                <w:szCs w:val="21"/>
                <w:highlight w:val="none"/>
              </w:rPr>
              <w:t xml:space="preserve">  我方不存在串通投标情形（串通投标情形以《中华人民共和国招标投标法实施条例》和《广东省实施</w:t>
            </w:r>
            <w:r>
              <w:rPr>
                <w:rFonts w:ascii="宋体" w:hAnsi="宋体" w:eastAsia="宋体"/>
                <w:szCs w:val="21"/>
                <w:highlight w:val="none"/>
              </w:rPr>
              <w:t>&lt;中华人民共和国招标投标法&gt;办法》的规定为准）。</w:t>
            </w:r>
          </w:p>
        </w:tc>
      </w:tr>
    </w:tbl>
    <w:p w14:paraId="532ACC79">
      <w:pPr>
        <w:spacing w:line="360" w:lineRule="auto"/>
        <w:rPr>
          <w:rFonts w:ascii="宋体" w:hAnsi="宋体" w:eastAsia="宋体"/>
          <w:highlight w:val="none"/>
        </w:rPr>
      </w:pPr>
    </w:p>
    <w:p w14:paraId="50A8C3F2">
      <w:pPr>
        <w:widowControl/>
        <w:spacing w:line="360" w:lineRule="auto"/>
        <w:ind w:firstLine="1995" w:firstLineChars="950"/>
        <w:jc w:val="left"/>
        <w:rPr>
          <w:rFonts w:ascii="宋体" w:hAnsi="宋体" w:eastAsia="宋体"/>
          <w:highlight w:val="none"/>
        </w:rPr>
      </w:pPr>
      <w:bookmarkStart w:id="464" w:name="_Toc352691655"/>
      <w:bookmarkStart w:id="465" w:name="_Toc369531691"/>
      <w:bookmarkStart w:id="466" w:name="_Toc7039"/>
      <w:r>
        <w:rPr>
          <w:rFonts w:hint="eastAsia" w:ascii="宋体" w:hAnsi="宋体" w:eastAsia="宋体"/>
          <w:highlight w:val="none"/>
        </w:rPr>
        <w:t>投标人：</w:t>
      </w:r>
      <w:r>
        <w:rPr>
          <w:rFonts w:ascii="宋体" w:hAnsi="宋体" w:eastAsia="宋体"/>
          <w:highlight w:val="none"/>
        </w:rPr>
        <w:t>(</w:t>
      </w:r>
      <w:r>
        <w:rPr>
          <w:rFonts w:hint="eastAsia" w:ascii="宋体" w:hAnsi="宋体" w:eastAsia="宋体"/>
          <w:highlight w:val="none"/>
        </w:rPr>
        <w:t>盖公章</w:t>
      </w:r>
      <w:r>
        <w:rPr>
          <w:rFonts w:ascii="宋体" w:hAnsi="宋体" w:eastAsia="宋体"/>
          <w:highlight w:val="none"/>
        </w:rPr>
        <w:t xml:space="preserve">)                                    </w:t>
      </w:r>
    </w:p>
    <w:p w14:paraId="10E0785D">
      <w:pPr>
        <w:widowControl/>
        <w:spacing w:line="360" w:lineRule="auto"/>
        <w:ind w:firstLine="1995" w:firstLineChars="950"/>
        <w:jc w:val="left"/>
        <w:rPr>
          <w:rFonts w:ascii="宋体" w:hAnsi="宋体" w:eastAsia="宋体"/>
          <w:highlight w:val="none"/>
        </w:rPr>
      </w:pPr>
      <w:r>
        <w:rPr>
          <w:rFonts w:hint="eastAsia" w:ascii="宋体" w:hAnsi="宋体" w:eastAsia="宋体"/>
          <w:highlight w:val="none"/>
        </w:rPr>
        <w:t xml:space="preserve"> </w:t>
      </w:r>
      <w:r>
        <w:rPr>
          <w:rFonts w:ascii="宋体" w:hAnsi="宋体" w:eastAsia="宋体"/>
          <w:highlight w:val="none"/>
        </w:rPr>
        <w:t xml:space="preserve">     </w:t>
      </w:r>
    </w:p>
    <w:p w14:paraId="1C33AD54">
      <w:pPr>
        <w:widowControl/>
        <w:spacing w:line="360" w:lineRule="auto"/>
        <w:ind w:firstLine="1995" w:firstLineChars="950"/>
        <w:jc w:val="left"/>
        <w:rPr>
          <w:rFonts w:ascii="宋体" w:hAnsi="宋体" w:eastAsia="宋体"/>
          <w:highlight w:val="none"/>
        </w:rPr>
      </w:pPr>
      <w:r>
        <w:rPr>
          <w:rFonts w:hint="eastAsia" w:ascii="宋体" w:hAnsi="宋体" w:eastAsia="宋体"/>
          <w:highlight w:val="none"/>
        </w:rPr>
        <w:t>日期：</w:t>
      </w:r>
      <w:r>
        <w:rPr>
          <w:rFonts w:ascii="宋体" w:hAnsi="宋体" w:eastAsia="宋体"/>
          <w:highlight w:val="none"/>
        </w:rPr>
        <w:t xml:space="preserve">        </w:t>
      </w:r>
      <w:r>
        <w:rPr>
          <w:rFonts w:hint="eastAsia" w:ascii="宋体" w:hAnsi="宋体" w:eastAsia="宋体"/>
          <w:highlight w:val="none"/>
        </w:rPr>
        <w:t>年</w:t>
      </w:r>
      <w:r>
        <w:rPr>
          <w:rFonts w:ascii="宋体" w:hAnsi="宋体" w:eastAsia="宋体"/>
          <w:highlight w:val="none"/>
        </w:rPr>
        <w:t xml:space="preserve">       </w:t>
      </w:r>
      <w:r>
        <w:rPr>
          <w:rFonts w:hint="eastAsia" w:ascii="宋体" w:hAnsi="宋体" w:eastAsia="宋体"/>
          <w:highlight w:val="none"/>
        </w:rPr>
        <w:t>月</w:t>
      </w:r>
      <w:r>
        <w:rPr>
          <w:rFonts w:ascii="宋体" w:hAnsi="宋体" w:eastAsia="宋体"/>
          <w:highlight w:val="none"/>
        </w:rPr>
        <w:t xml:space="preserve">      </w:t>
      </w:r>
      <w:r>
        <w:rPr>
          <w:rFonts w:hint="eastAsia" w:ascii="宋体" w:hAnsi="宋体" w:eastAsia="宋体"/>
          <w:highlight w:val="none"/>
        </w:rPr>
        <w:t>日</w:t>
      </w:r>
    </w:p>
    <w:p w14:paraId="701AC510">
      <w:pPr>
        <w:widowControl/>
        <w:jc w:val="left"/>
        <w:rPr>
          <w:rFonts w:ascii="宋体" w:hAnsi="宋体" w:eastAsia="宋体"/>
          <w:highlight w:val="none"/>
        </w:rPr>
      </w:pPr>
      <w:r>
        <w:rPr>
          <w:rFonts w:ascii="宋体" w:hAnsi="宋体" w:eastAsia="宋体"/>
          <w:highlight w:val="none"/>
        </w:rPr>
        <w:br w:type="page"/>
      </w:r>
    </w:p>
    <w:bookmarkEnd w:id="415"/>
    <w:bookmarkEnd w:id="416"/>
    <w:bookmarkEnd w:id="417"/>
    <w:bookmarkEnd w:id="418"/>
    <w:bookmarkEnd w:id="419"/>
    <w:bookmarkEnd w:id="420"/>
    <w:bookmarkEnd w:id="421"/>
    <w:bookmarkEnd w:id="422"/>
    <w:bookmarkEnd w:id="423"/>
    <w:bookmarkEnd w:id="464"/>
    <w:bookmarkEnd w:id="465"/>
    <w:bookmarkEnd w:id="466"/>
    <w:p w14:paraId="20549236">
      <w:pPr>
        <w:pStyle w:val="3"/>
        <w:rPr>
          <w:color w:val="auto"/>
          <w:highlight w:val="none"/>
        </w:rPr>
      </w:pPr>
      <w:bookmarkStart w:id="467" w:name="_Toc10957"/>
      <w:bookmarkStart w:id="468" w:name="_Toc533084446"/>
      <w:r>
        <w:rPr>
          <w:rFonts w:hint="eastAsia"/>
          <w:color w:val="auto"/>
          <w:highlight w:val="none"/>
        </w:rPr>
        <w:t>二、法定代表人证明书及授权委托证明书</w:t>
      </w:r>
      <w:bookmarkEnd w:id="467"/>
      <w:bookmarkEnd w:id="468"/>
    </w:p>
    <w:p w14:paraId="5270454D">
      <w:pPr>
        <w:jc w:val="center"/>
        <w:rPr>
          <w:rFonts w:ascii="宋体" w:hAnsi="宋体" w:eastAsia="宋体"/>
          <w:highlight w:val="none"/>
        </w:rPr>
      </w:pPr>
      <w:r>
        <w:rPr>
          <w:rFonts w:hint="eastAsia" w:ascii="宋体" w:hAnsi="宋体" w:eastAsia="宋体"/>
          <w:highlight w:val="none"/>
        </w:rPr>
        <w:t>法定代表人证明书</w:t>
      </w:r>
    </w:p>
    <w:p w14:paraId="08C6568C">
      <w:pPr>
        <w:spacing w:line="360" w:lineRule="auto"/>
        <w:rPr>
          <w:rFonts w:ascii="宋体" w:hAnsi="宋体" w:eastAsia="宋体"/>
          <w:highlight w:val="none"/>
        </w:rPr>
      </w:pPr>
      <w:r>
        <w:rPr>
          <w:rFonts w:ascii="宋体" w:hAnsi="宋体" w:eastAsia="宋体"/>
          <w:highlight w:val="none"/>
        </w:rPr>
        <mc:AlternateContent>
          <mc:Choice Requires="wps">
            <w:drawing>
              <wp:anchor distT="0" distB="0" distL="114300" distR="114300" simplePos="0" relativeHeight="251659264" behindDoc="0" locked="0" layoutInCell="1" allowOverlap="1">
                <wp:simplePos x="0" y="0"/>
                <wp:positionH relativeFrom="column">
                  <wp:posOffset>-133985</wp:posOffset>
                </wp:positionH>
                <wp:positionV relativeFrom="paragraph">
                  <wp:posOffset>80645</wp:posOffset>
                </wp:positionV>
                <wp:extent cx="5943600" cy="2773680"/>
                <wp:effectExtent l="0" t="0" r="19050" b="26670"/>
                <wp:wrapNone/>
                <wp:docPr id="24" name="文本框 24"/>
                <wp:cNvGraphicFramePr/>
                <a:graphic xmlns:a="http://schemas.openxmlformats.org/drawingml/2006/main">
                  <a:graphicData uri="http://schemas.microsoft.com/office/word/2010/wordprocessingShape">
                    <wps:wsp>
                      <wps:cNvSpPr txBox="1">
                        <a:spLocks noChangeArrowheads="1"/>
                      </wps:cNvSpPr>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AF87A2">
                            <w:pPr>
                              <w:spacing w:before="120" w:line="360" w:lineRule="auto"/>
                              <w:rPr>
                                <w:rFonts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现任我单位</w:t>
                            </w:r>
                            <w:r>
                              <w:rPr>
                                <w:rFonts w:hint="eastAsia" w:ascii="宋体" w:hAnsi="宋体" w:eastAsia="宋体"/>
                                <w:sz w:val="24"/>
                                <w:szCs w:val="24"/>
                                <w:u w:val="single"/>
                              </w:rPr>
                              <w:t xml:space="preserve">            </w:t>
                            </w:r>
                            <w:r>
                              <w:rPr>
                                <w:rFonts w:hint="eastAsia" w:ascii="宋体" w:hAnsi="宋体" w:eastAsia="宋体"/>
                                <w:sz w:val="24"/>
                                <w:szCs w:val="24"/>
                              </w:rPr>
                              <w:t>职务，为法定代表人（负责人），</w:t>
                            </w:r>
                          </w:p>
                          <w:p w14:paraId="4A72A5E3">
                            <w:pPr>
                              <w:snapToGrid w:val="0"/>
                              <w:spacing w:line="360" w:lineRule="auto"/>
                              <w:rPr>
                                <w:rFonts w:ascii="宋体" w:hAnsi="宋体" w:eastAsia="宋体"/>
                                <w:sz w:val="24"/>
                                <w:szCs w:val="24"/>
                              </w:rPr>
                            </w:pPr>
                            <w:r>
                              <w:rPr>
                                <w:rFonts w:hint="eastAsia" w:ascii="宋体" w:hAnsi="宋体" w:eastAsia="宋体"/>
                                <w:sz w:val="24"/>
                                <w:szCs w:val="24"/>
                              </w:rPr>
                              <w:t>特此证明。</w:t>
                            </w:r>
                          </w:p>
                          <w:p w14:paraId="3C2891E5">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14:paraId="62237748">
                            <w:pPr>
                              <w:snapToGrid w:val="0"/>
                              <w:spacing w:line="360" w:lineRule="auto"/>
                              <w:rPr>
                                <w:rFonts w:ascii="宋体" w:hAnsi="宋体" w:eastAsia="宋体"/>
                                <w:sz w:val="24"/>
                                <w:szCs w:val="24"/>
                                <w:u w:val="single"/>
                              </w:rPr>
                            </w:pPr>
                            <w:r>
                              <w:rPr>
                                <w:rFonts w:hint="eastAsia" w:ascii="宋体" w:hAnsi="宋体" w:eastAsia="宋体"/>
                                <w:sz w:val="24"/>
                                <w:szCs w:val="24"/>
                              </w:rPr>
                              <w:t>附：法定代表人（负责人）性别：</w:t>
                            </w:r>
                            <w:r>
                              <w:rPr>
                                <w:rFonts w:hint="eastAsia" w:ascii="宋体" w:hAnsi="宋体" w:eastAsia="宋体"/>
                                <w:sz w:val="24"/>
                                <w:szCs w:val="24"/>
                                <w:u w:val="single"/>
                              </w:rPr>
                              <w:t xml:space="preserve">    </w:t>
                            </w:r>
                            <w:r>
                              <w:rPr>
                                <w:rFonts w:hint="eastAsia" w:ascii="宋体" w:hAnsi="宋体" w:eastAsia="宋体"/>
                                <w:sz w:val="24"/>
                                <w:szCs w:val="24"/>
                              </w:rPr>
                              <w:t>年龄：</w:t>
                            </w:r>
                            <w:r>
                              <w:rPr>
                                <w:rFonts w:hint="eastAsia" w:ascii="宋体" w:hAnsi="宋体" w:eastAsia="宋体"/>
                                <w:sz w:val="24"/>
                                <w:szCs w:val="24"/>
                                <w:u w:val="single"/>
                              </w:rPr>
                              <w:t xml:space="preserve">   </w:t>
                            </w:r>
                            <w:r>
                              <w:rPr>
                                <w:rFonts w:hint="eastAsia" w:ascii="宋体" w:hAnsi="宋体" w:eastAsia="宋体"/>
                                <w:sz w:val="24"/>
                                <w:szCs w:val="24"/>
                              </w:rPr>
                              <w:t>身份证号码：</w:t>
                            </w:r>
                            <w:r>
                              <w:rPr>
                                <w:rFonts w:hint="eastAsia" w:ascii="宋体" w:hAnsi="宋体" w:eastAsia="宋体"/>
                                <w:sz w:val="24"/>
                                <w:szCs w:val="24"/>
                                <w:u w:val="single"/>
                              </w:rPr>
                              <w:t xml:space="preserve">         </w:t>
                            </w:r>
                          </w:p>
                          <w:p w14:paraId="315CF090">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注册号码：</w:t>
                            </w:r>
                            <w:r>
                              <w:rPr>
                                <w:rFonts w:hint="eastAsia" w:ascii="宋体" w:hAnsi="宋体" w:eastAsia="宋体"/>
                                <w:sz w:val="24"/>
                                <w:szCs w:val="24"/>
                                <w:u w:val="single"/>
                              </w:rPr>
                              <w:t xml:space="preserve">                     </w:t>
                            </w:r>
                            <w:r>
                              <w:rPr>
                                <w:rFonts w:hint="eastAsia" w:ascii="宋体" w:hAnsi="宋体" w:eastAsia="宋体"/>
                                <w:sz w:val="24"/>
                                <w:szCs w:val="24"/>
                              </w:rPr>
                              <w:t>企业类型：</w:t>
                            </w:r>
                            <w:r>
                              <w:rPr>
                                <w:rFonts w:hint="eastAsia" w:ascii="宋体" w:hAnsi="宋体" w:eastAsia="宋体"/>
                                <w:sz w:val="24"/>
                                <w:szCs w:val="24"/>
                                <w:u w:val="single"/>
                              </w:rPr>
                              <w:t xml:space="preserve">                   </w:t>
                            </w:r>
                          </w:p>
                          <w:p w14:paraId="525E8CD4">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经营范围：</w:t>
                            </w:r>
                            <w:r>
                              <w:rPr>
                                <w:rFonts w:hint="eastAsia" w:ascii="宋体" w:hAnsi="宋体" w:eastAsia="宋体"/>
                                <w:sz w:val="24"/>
                                <w:szCs w:val="24"/>
                                <w:u w:val="single"/>
                              </w:rPr>
                              <w:t xml:space="preserve">                       </w:t>
                            </w:r>
                          </w:p>
                          <w:p w14:paraId="49C95D3A">
                            <w:pPr>
                              <w:snapToGrid w:val="0"/>
                              <w:spacing w:line="360" w:lineRule="auto"/>
                              <w:ind w:firstLine="570"/>
                              <w:jc w:val="right"/>
                              <w:rPr>
                                <w:rFonts w:ascii="宋体" w:hAnsi="宋体" w:eastAsia="宋体"/>
                                <w:sz w:val="24"/>
                                <w:szCs w:val="24"/>
                              </w:rPr>
                            </w:pPr>
                            <w:r>
                              <w:rPr>
                                <w:rFonts w:hint="eastAsia" w:ascii="宋体" w:hAnsi="宋体" w:eastAsia="宋体"/>
                                <w:sz w:val="24"/>
                                <w:szCs w:val="24"/>
                              </w:rPr>
                              <w:t>单位：            （盖公章）</w:t>
                            </w:r>
                          </w:p>
                          <w:p w14:paraId="317346D2">
                            <w:pPr>
                              <w:snapToGrid w:val="0"/>
                              <w:spacing w:line="360" w:lineRule="auto"/>
                              <w:ind w:firstLine="570"/>
                              <w:jc w:val="center"/>
                              <w:rPr>
                                <w:rFonts w:ascii="宋体" w:hAnsi="宋体" w:eastAsia="宋体"/>
                                <w:sz w:val="24"/>
                                <w:szCs w:val="24"/>
                              </w:rPr>
                            </w:pPr>
                            <w:r>
                              <w:rPr>
                                <w:rFonts w:hint="eastAsia" w:ascii="宋体" w:hAnsi="宋体" w:eastAsia="宋体"/>
                                <w:sz w:val="24"/>
                                <w:szCs w:val="24"/>
                              </w:rPr>
                              <w:t>　　　　　　　　　　　　　　　　　　　　　　年   月   日</w:t>
                            </w:r>
                          </w:p>
                        </w:txbxContent>
                      </wps:txbx>
                      <wps:bodyPr upright="1"/>
                    </wps:wsp>
                  </a:graphicData>
                </a:graphic>
              </wp:anchor>
            </w:drawing>
          </mc:Choice>
          <mc:Fallback>
            <w:pict>
              <v:shape id="_x0000_s1026" o:spid="_x0000_s1026" o:spt="202" type="#_x0000_t202" style="position:absolute;left:0pt;margin-left:-10.55pt;margin-top:6.35pt;height:218.4pt;width:468pt;z-index:251659264;mso-width-relative:page;mso-height-relative:page;" fillcolor="#FFFFFF" filled="t" stroked="t" coordsize="21600,21600" o:gfxdata="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P7V12QAAAAoBAAAPAAAAAAAAAAEAIAAAACIAAABkcnMvZG93bnJldi54bWxQSwECFAAUAAAA&#10;CACHTuJA8SGeyCYCAABpBAAADgAAAAAAAAABACAAAAAoAQAAZHJzL2Uyb0RvYy54bWxQSwUGAAAA&#10;AAYABgBZAQAAwAUAAAAA&#10;">
                <v:fill on="t" focussize="0,0"/>
                <v:stroke color="#000000" joinstyle="miter"/>
                <v:imagedata o:title=""/>
                <o:lock v:ext="edit" aspectratio="f"/>
                <v:textbox>
                  <w:txbxContent>
                    <w:p w14:paraId="18AF87A2">
                      <w:pPr>
                        <w:spacing w:before="120" w:line="360" w:lineRule="auto"/>
                        <w:rPr>
                          <w:rFonts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现任我单位</w:t>
                      </w:r>
                      <w:r>
                        <w:rPr>
                          <w:rFonts w:hint="eastAsia" w:ascii="宋体" w:hAnsi="宋体" w:eastAsia="宋体"/>
                          <w:sz w:val="24"/>
                          <w:szCs w:val="24"/>
                          <w:u w:val="single"/>
                        </w:rPr>
                        <w:t xml:space="preserve">            </w:t>
                      </w:r>
                      <w:r>
                        <w:rPr>
                          <w:rFonts w:hint="eastAsia" w:ascii="宋体" w:hAnsi="宋体" w:eastAsia="宋体"/>
                          <w:sz w:val="24"/>
                          <w:szCs w:val="24"/>
                        </w:rPr>
                        <w:t>职务，为法定代表人（负责人），</w:t>
                      </w:r>
                    </w:p>
                    <w:p w14:paraId="4A72A5E3">
                      <w:pPr>
                        <w:snapToGrid w:val="0"/>
                        <w:spacing w:line="360" w:lineRule="auto"/>
                        <w:rPr>
                          <w:rFonts w:ascii="宋体" w:hAnsi="宋体" w:eastAsia="宋体"/>
                          <w:sz w:val="24"/>
                          <w:szCs w:val="24"/>
                        </w:rPr>
                      </w:pPr>
                      <w:r>
                        <w:rPr>
                          <w:rFonts w:hint="eastAsia" w:ascii="宋体" w:hAnsi="宋体" w:eastAsia="宋体"/>
                          <w:sz w:val="24"/>
                          <w:szCs w:val="24"/>
                        </w:rPr>
                        <w:t>特此证明。</w:t>
                      </w:r>
                    </w:p>
                    <w:p w14:paraId="3C2891E5">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14:paraId="62237748">
                      <w:pPr>
                        <w:snapToGrid w:val="0"/>
                        <w:spacing w:line="360" w:lineRule="auto"/>
                        <w:rPr>
                          <w:rFonts w:ascii="宋体" w:hAnsi="宋体" w:eastAsia="宋体"/>
                          <w:sz w:val="24"/>
                          <w:szCs w:val="24"/>
                          <w:u w:val="single"/>
                        </w:rPr>
                      </w:pPr>
                      <w:r>
                        <w:rPr>
                          <w:rFonts w:hint="eastAsia" w:ascii="宋体" w:hAnsi="宋体" w:eastAsia="宋体"/>
                          <w:sz w:val="24"/>
                          <w:szCs w:val="24"/>
                        </w:rPr>
                        <w:t>附：法定代表人（负责人）性别：</w:t>
                      </w:r>
                      <w:r>
                        <w:rPr>
                          <w:rFonts w:hint="eastAsia" w:ascii="宋体" w:hAnsi="宋体" w:eastAsia="宋体"/>
                          <w:sz w:val="24"/>
                          <w:szCs w:val="24"/>
                          <w:u w:val="single"/>
                        </w:rPr>
                        <w:t xml:space="preserve">    </w:t>
                      </w:r>
                      <w:r>
                        <w:rPr>
                          <w:rFonts w:hint="eastAsia" w:ascii="宋体" w:hAnsi="宋体" w:eastAsia="宋体"/>
                          <w:sz w:val="24"/>
                          <w:szCs w:val="24"/>
                        </w:rPr>
                        <w:t>年龄：</w:t>
                      </w:r>
                      <w:r>
                        <w:rPr>
                          <w:rFonts w:hint="eastAsia" w:ascii="宋体" w:hAnsi="宋体" w:eastAsia="宋体"/>
                          <w:sz w:val="24"/>
                          <w:szCs w:val="24"/>
                          <w:u w:val="single"/>
                        </w:rPr>
                        <w:t xml:space="preserve">   </w:t>
                      </w:r>
                      <w:r>
                        <w:rPr>
                          <w:rFonts w:hint="eastAsia" w:ascii="宋体" w:hAnsi="宋体" w:eastAsia="宋体"/>
                          <w:sz w:val="24"/>
                          <w:szCs w:val="24"/>
                        </w:rPr>
                        <w:t>身份证号码：</w:t>
                      </w:r>
                      <w:r>
                        <w:rPr>
                          <w:rFonts w:hint="eastAsia" w:ascii="宋体" w:hAnsi="宋体" w:eastAsia="宋体"/>
                          <w:sz w:val="24"/>
                          <w:szCs w:val="24"/>
                          <w:u w:val="single"/>
                        </w:rPr>
                        <w:t xml:space="preserve">         </w:t>
                      </w:r>
                    </w:p>
                    <w:p w14:paraId="315CF090">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注册号码：</w:t>
                      </w:r>
                      <w:r>
                        <w:rPr>
                          <w:rFonts w:hint="eastAsia" w:ascii="宋体" w:hAnsi="宋体" w:eastAsia="宋体"/>
                          <w:sz w:val="24"/>
                          <w:szCs w:val="24"/>
                          <w:u w:val="single"/>
                        </w:rPr>
                        <w:t xml:space="preserve">                     </w:t>
                      </w:r>
                      <w:r>
                        <w:rPr>
                          <w:rFonts w:hint="eastAsia" w:ascii="宋体" w:hAnsi="宋体" w:eastAsia="宋体"/>
                          <w:sz w:val="24"/>
                          <w:szCs w:val="24"/>
                        </w:rPr>
                        <w:t>企业类型：</w:t>
                      </w:r>
                      <w:r>
                        <w:rPr>
                          <w:rFonts w:hint="eastAsia" w:ascii="宋体" w:hAnsi="宋体" w:eastAsia="宋体"/>
                          <w:sz w:val="24"/>
                          <w:szCs w:val="24"/>
                          <w:u w:val="single"/>
                        </w:rPr>
                        <w:t xml:space="preserve">                   </w:t>
                      </w:r>
                    </w:p>
                    <w:p w14:paraId="525E8CD4">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经营范围：</w:t>
                      </w:r>
                      <w:r>
                        <w:rPr>
                          <w:rFonts w:hint="eastAsia" w:ascii="宋体" w:hAnsi="宋体" w:eastAsia="宋体"/>
                          <w:sz w:val="24"/>
                          <w:szCs w:val="24"/>
                          <w:u w:val="single"/>
                        </w:rPr>
                        <w:t xml:space="preserve">                       </w:t>
                      </w:r>
                    </w:p>
                    <w:p w14:paraId="49C95D3A">
                      <w:pPr>
                        <w:snapToGrid w:val="0"/>
                        <w:spacing w:line="360" w:lineRule="auto"/>
                        <w:ind w:firstLine="570"/>
                        <w:jc w:val="right"/>
                        <w:rPr>
                          <w:rFonts w:ascii="宋体" w:hAnsi="宋体" w:eastAsia="宋体"/>
                          <w:sz w:val="24"/>
                          <w:szCs w:val="24"/>
                        </w:rPr>
                      </w:pPr>
                      <w:r>
                        <w:rPr>
                          <w:rFonts w:hint="eastAsia" w:ascii="宋体" w:hAnsi="宋体" w:eastAsia="宋体"/>
                          <w:sz w:val="24"/>
                          <w:szCs w:val="24"/>
                        </w:rPr>
                        <w:t>单位：            （盖公章）</w:t>
                      </w:r>
                    </w:p>
                    <w:p w14:paraId="317346D2">
                      <w:pPr>
                        <w:snapToGrid w:val="0"/>
                        <w:spacing w:line="360" w:lineRule="auto"/>
                        <w:ind w:firstLine="570"/>
                        <w:jc w:val="center"/>
                        <w:rPr>
                          <w:rFonts w:ascii="宋体" w:hAnsi="宋体" w:eastAsia="宋体"/>
                          <w:sz w:val="24"/>
                          <w:szCs w:val="24"/>
                        </w:rPr>
                      </w:pPr>
                      <w:r>
                        <w:rPr>
                          <w:rFonts w:hint="eastAsia" w:ascii="宋体" w:hAnsi="宋体" w:eastAsia="宋体"/>
                          <w:sz w:val="24"/>
                          <w:szCs w:val="24"/>
                        </w:rPr>
                        <w:t>　　　　　　　　　　　　　　　　　　　　　　年   月   日</w:t>
                      </w:r>
                    </w:p>
                  </w:txbxContent>
                </v:textbox>
              </v:shape>
            </w:pict>
          </mc:Fallback>
        </mc:AlternateContent>
      </w:r>
    </w:p>
    <w:p w14:paraId="7B8D6A9D">
      <w:pPr>
        <w:spacing w:line="360" w:lineRule="auto"/>
        <w:jc w:val="center"/>
        <w:rPr>
          <w:rFonts w:ascii="宋体" w:hAnsi="宋体" w:eastAsia="宋体"/>
          <w:highlight w:val="none"/>
        </w:rPr>
      </w:pPr>
    </w:p>
    <w:p w14:paraId="34AC1DF6">
      <w:pPr>
        <w:spacing w:line="360" w:lineRule="auto"/>
        <w:jc w:val="center"/>
        <w:rPr>
          <w:rFonts w:ascii="宋体" w:hAnsi="宋体" w:eastAsia="宋体"/>
          <w:highlight w:val="none"/>
        </w:rPr>
      </w:pPr>
    </w:p>
    <w:p w14:paraId="05188BBF">
      <w:pPr>
        <w:spacing w:line="360" w:lineRule="auto"/>
        <w:jc w:val="center"/>
        <w:rPr>
          <w:rFonts w:ascii="宋体" w:hAnsi="宋体" w:eastAsia="宋体"/>
          <w:highlight w:val="none"/>
        </w:rPr>
      </w:pPr>
    </w:p>
    <w:p w14:paraId="6761DDC7">
      <w:pPr>
        <w:spacing w:line="360" w:lineRule="auto"/>
        <w:jc w:val="center"/>
        <w:rPr>
          <w:rFonts w:ascii="宋体" w:hAnsi="宋体" w:eastAsia="宋体"/>
          <w:highlight w:val="none"/>
        </w:rPr>
      </w:pPr>
      <w:r>
        <w:rPr>
          <w:rFonts w:ascii="宋体" w:hAnsi="宋体" w:eastAsia="宋体"/>
          <w:highlight w:val="none"/>
        </w:rPr>
        <w:t xml:space="preserve">   </w:t>
      </w:r>
    </w:p>
    <w:p w14:paraId="4C366432">
      <w:pPr>
        <w:spacing w:line="360" w:lineRule="auto"/>
        <w:jc w:val="center"/>
        <w:rPr>
          <w:rFonts w:ascii="宋体" w:hAnsi="宋体" w:eastAsia="宋体"/>
          <w:highlight w:val="none"/>
        </w:rPr>
      </w:pPr>
    </w:p>
    <w:p w14:paraId="25D41983">
      <w:pPr>
        <w:spacing w:line="360" w:lineRule="auto"/>
        <w:jc w:val="center"/>
        <w:rPr>
          <w:rFonts w:ascii="宋体" w:hAnsi="宋体" w:eastAsia="宋体"/>
          <w:highlight w:val="none"/>
        </w:rPr>
      </w:pPr>
    </w:p>
    <w:p w14:paraId="680908E2">
      <w:pPr>
        <w:widowControl/>
        <w:jc w:val="left"/>
        <w:rPr>
          <w:rFonts w:ascii="宋体" w:hAnsi="宋体" w:eastAsia="宋体"/>
          <w:highlight w:val="none"/>
        </w:rPr>
      </w:pPr>
    </w:p>
    <w:p w14:paraId="13E3450E">
      <w:pPr>
        <w:spacing w:line="360" w:lineRule="auto"/>
        <w:jc w:val="center"/>
        <w:rPr>
          <w:rFonts w:ascii="宋体" w:hAnsi="宋体" w:eastAsia="宋体"/>
          <w:highlight w:val="none"/>
        </w:rPr>
      </w:pPr>
    </w:p>
    <w:p w14:paraId="221EE6ED">
      <w:pPr>
        <w:spacing w:line="360" w:lineRule="auto"/>
        <w:jc w:val="center"/>
        <w:rPr>
          <w:rFonts w:ascii="宋体" w:hAnsi="宋体" w:eastAsia="宋体"/>
          <w:highlight w:val="none"/>
        </w:rPr>
      </w:pPr>
    </w:p>
    <w:p w14:paraId="683E6A31">
      <w:pPr>
        <w:spacing w:line="360" w:lineRule="auto"/>
        <w:jc w:val="center"/>
        <w:rPr>
          <w:rFonts w:ascii="宋体" w:hAnsi="宋体" w:eastAsia="宋体"/>
          <w:highlight w:val="none"/>
        </w:rPr>
      </w:pPr>
    </w:p>
    <w:p w14:paraId="0988F7D1">
      <w:pPr>
        <w:jc w:val="center"/>
        <w:rPr>
          <w:rFonts w:ascii="宋体" w:hAnsi="宋体" w:eastAsia="宋体"/>
          <w:highlight w:val="none"/>
        </w:rPr>
      </w:pPr>
    </w:p>
    <w:p w14:paraId="27C15E8F">
      <w:pPr>
        <w:jc w:val="center"/>
        <w:rPr>
          <w:rFonts w:ascii="宋体" w:hAnsi="宋体" w:eastAsia="宋体"/>
          <w:highlight w:val="none"/>
        </w:rPr>
      </w:pPr>
    </w:p>
    <w:p w14:paraId="23273052">
      <w:pPr>
        <w:jc w:val="center"/>
        <w:rPr>
          <w:rFonts w:ascii="宋体" w:hAnsi="宋体" w:eastAsia="宋体"/>
          <w:highlight w:val="none"/>
        </w:rPr>
      </w:pPr>
    </w:p>
    <w:p w14:paraId="74510D6D">
      <w:pPr>
        <w:jc w:val="center"/>
        <w:rPr>
          <w:rFonts w:ascii="宋体" w:hAnsi="宋体" w:eastAsia="宋体"/>
          <w:highlight w:val="none"/>
        </w:rPr>
      </w:pPr>
    </w:p>
    <w:p w14:paraId="7D0ED050">
      <w:pPr>
        <w:jc w:val="center"/>
        <w:rPr>
          <w:rFonts w:ascii="宋体" w:hAnsi="宋体" w:eastAsia="宋体"/>
          <w:highlight w:val="none"/>
        </w:rPr>
      </w:pPr>
      <w:r>
        <w:rPr>
          <w:rFonts w:hint="eastAsia" w:ascii="宋体" w:hAnsi="宋体" w:eastAsia="宋体"/>
          <w:highlight w:val="none"/>
        </w:rPr>
        <w:t>授权委托证明书</w:t>
      </w:r>
    </w:p>
    <w:p w14:paraId="18376992">
      <w:pPr>
        <w:pStyle w:val="26"/>
        <w:rPr>
          <w:rFonts w:ascii="宋体" w:hAnsi="宋体"/>
          <w:highlight w:val="none"/>
        </w:rPr>
      </w:pPr>
      <w:r>
        <w:rPr>
          <w:rFonts w:ascii="宋体" w:hAnsi="宋体"/>
          <w:highlight w:val="none"/>
        </w:rPr>
        <mc:AlternateContent>
          <mc:Choice Requires="wps">
            <w:drawing>
              <wp:anchor distT="0" distB="0" distL="114300" distR="114300" simplePos="0" relativeHeight="251660288" behindDoc="0" locked="0" layoutInCell="1" allowOverlap="1">
                <wp:simplePos x="0" y="0"/>
                <wp:positionH relativeFrom="column">
                  <wp:posOffset>-133985</wp:posOffset>
                </wp:positionH>
                <wp:positionV relativeFrom="paragraph">
                  <wp:posOffset>133350</wp:posOffset>
                </wp:positionV>
                <wp:extent cx="5943600" cy="2771775"/>
                <wp:effectExtent l="0" t="0" r="19050" b="10160"/>
                <wp:wrapNone/>
                <wp:docPr id="23" name="文本框 23"/>
                <wp:cNvGraphicFramePr/>
                <a:graphic xmlns:a="http://schemas.openxmlformats.org/drawingml/2006/main">
                  <a:graphicData uri="http://schemas.microsoft.com/office/word/2010/wordprocessingShape">
                    <wps:wsp>
                      <wps:cNvSpPr txBox="1">
                        <a:spLocks noChangeArrowheads="1"/>
                      </wps:cNvSpPr>
                      <wps:spPr>
                        <a:xfrm>
                          <a:off x="0" y="0"/>
                          <a:ext cx="5943600" cy="27714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D5F475">
                            <w:pPr>
                              <w:spacing w:before="120" w:line="360" w:lineRule="auto"/>
                              <w:ind w:firstLine="560"/>
                              <w:rPr>
                                <w:rFonts w:ascii="宋体" w:hAnsi="宋体" w:eastAsia="宋体"/>
                                <w:sz w:val="24"/>
                                <w:szCs w:val="24"/>
                              </w:rPr>
                            </w:pPr>
                            <w:r>
                              <w:rPr>
                                <w:rFonts w:hint="eastAsia" w:ascii="宋体" w:hAnsi="宋体" w:eastAsia="宋体"/>
                                <w:sz w:val="24"/>
                                <w:szCs w:val="24"/>
                              </w:rPr>
                              <w:t>兹授权</w:t>
                            </w:r>
                            <w:r>
                              <w:rPr>
                                <w:rFonts w:ascii="宋体" w:hAnsi="宋体" w:eastAsia="宋体"/>
                                <w:sz w:val="24"/>
                                <w:szCs w:val="24"/>
                                <w:u w:val="single"/>
                              </w:rPr>
                              <w:t xml:space="preserve">                </w:t>
                            </w:r>
                            <w:r>
                              <w:rPr>
                                <w:rFonts w:hint="eastAsia" w:ascii="宋体" w:hAnsi="宋体" w:eastAsia="宋体"/>
                                <w:sz w:val="24"/>
                                <w:szCs w:val="24"/>
                              </w:rPr>
                              <w:t>为我方委托代理人，其权限是：</w:t>
                            </w:r>
                            <w:r>
                              <w:rPr>
                                <w:rFonts w:ascii="宋体" w:hAnsi="宋体" w:eastAsia="宋体"/>
                                <w:sz w:val="24"/>
                                <w:szCs w:val="24"/>
                                <w:u w:val="single"/>
                              </w:rPr>
                              <w:t xml:space="preserve">          </w:t>
                            </w:r>
                          </w:p>
                          <w:p w14:paraId="7CFA5ABF">
                            <w:pPr>
                              <w:snapToGrid w:val="0"/>
                              <w:spacing w:line="360" w:lineRule="auto"/>
                              <w:rPr>
                                <w:rFonts w:ascii="宋体" w:hAnsi="宋体" w:eastAsia="宋体"/>
                                <w:sz w:val="24"/>
                                <w:szCs w:val="24"/>
                                <w:u w:val="single"/>
                              </w:rPr>
                            </w:pPr>
                            <w:r>
                              <w:rPr>
                                <w:rFonts w:ascii="宋体" w:hAnsi="宋体" w:eastAsia="宋体"/>
                                <w:sz w:val="24"/>
                                <w:szCs w:val="24"/>
                                <w:u w:val="single"/>
                              </w:rPr>
                              <w:t xml:space="preserve">                                                                </w:t>
                            </w:r>
                          </w:p>
                          <w:p w14:paraId="4037B6A3">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ascii="宋体" w:hAnsi="宋体" w:eastAsia="宋体"/>
                                <w:sz w:val="24"/>
                                <w:szCs w:val="24"/>
                                <w:u w:val="single"/>
                              </w:rPr>
                              <w:t xml:space="preserve">                                                      </w:t>
                            </w:r>
                          </w:p>
                          <w:p w14:paraId="14207B51">
                            <w:pPr>
                              <w:snapToGrid w:val="0"/>
                              <w:spacing w:line="360" w:lineRule="auto"/>
                              <w:rPr>
                                <w:rFonts w:ascii="宋体" w:hAnsi="宋体" w:eastAsia="宋体"/>
                                <w:sz w:val="24"/>
                                <w:szCs w:val="24"/>
                              </w:rPr>
                            </w:pPr>
                            <w:r>
                              <w:rPr>
                                <w:rFonts w:hint="eastAsia" w:ascii="宋体" w:hAnsi="宋体" w:eastAsia="宋体"/>
                                <w:sz w:val="24"/>
                                <w:szCs w:val="24"/>
                              </w:rPr>
                              <w:t>附：代理人性别：</w:t>
                            </w:r>
                            <w:r>
                              <w:rPr>
                                <w:rFonts w:ascii="宋体" w:hAnsi="宋体" w:eastAsia="宋体"/>
                                <w:sz w:val="24"/>
                                <w:szCs w:val="24"/>
                                <w:u w:val="single"/>
                              </w:rPr>
                              <w:t xml:space="preserve">     </w:t>
                            </w:r>
                            <w:r>
                              <w:rPr>
                                <w:rFonts w:hint="eastAsia" w:ascii="宋体" w:hAnsi="宋体" w:eastAsia="宋体"/>
                                <w:sz w:val="24"/>
                                <w:szCs w:val="24"/>
                              </w:rPr>
                              <w:t>年龄：</w:t>
                            </w:r>
                            <w:r>
                              <w:rPr>
                                <w:rFonts w:ascii="宋体" w:hAnsi="宋体" w:eastAsia="宋体"/>
                                <w:sz w:val="24"/>
                                <w:szCs w:val="24"/>
                                <w:u w:val="single"/>
                              </w:rPr>
                              <w:t xml:space="preserve">     </w:t>
                            </w:r>
                            <w:r>
                              <w:rPr>
                                <w:rFonts w:hint="eastAsia" w:ascii="宋体" w:hAnsi="宋体" w:eastAsia="宋体"/>
                                <w:sz w:val="24"/>
                                <w:szCs w:val="24"/>
                              </w:rPr>
                              <w:t>身份证号码：</w:t>
                            </w:r>
                            <w:r>
                              <w:rPr>
                                <w:rFonts w:ascii="宋体" w:hAnsi="宋体" w:eastAsia="宋体"/>
                                <w:sz w:val="24"/>
                                <w:szCs w:val="24"/>
                                <w:u w:val="single"/>
                              </w:rPr>
                              <w:t xml:space="preserve">                    </w:t>
                            </w:r>
                          </w:p>
                          <w:p w14:paraId="4CB14C95">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注册号码：</w:t>
                            </w:r>
                            <w:r>
                              <w:rPr>
                                <w:rFonts w:ascii="宋体" w:hAnsi="宋体" w:eastAsia="宋体"/>
                                <w:sz w:val="24"/>
                                <w:szCs w:val="24"/>
                                <w:u w:val="single"/>
                              </w:rPr>
                              <w:t xml:space="preserve">                  </w:t>
                            </w:r>
                            <w:r>
                              <w:rPr>
                                <w:rFonts w:hint="eastAsia" w:ascii="宋体" w:hAnsi="宋体" w:eastAsia="宋体"/>
                                <w:sz w:val="24"/>
                                <w:szCs w:val="24"/>
                              </w:rPr>
                              <w:t>企业类型：</w:t>
                            </w:r>
                            <w:r>
                              <w:rPr>
                                <w:rFonts w:ascii="宋体" w:hAnsi="宋体" w:eastAsia="宋体"/>
                                <w:sz w:val="24"/>
                                <w:szCs w:val="24"/>
                                <w:u w:val="single"/>
                              </w:rPr>
                              <w:t xml:space="preserve">                      </w:t>
                            </w:r>
                          </w:p>
                          <w:p w14:paraId="7968A041">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经营范围：</w:t>
                            </w:r>
                            <w:r>
                              <w:rPr>
                                <w:rFonts w:ascii="宋体" w:hAnsi="宋体" w:eastAsia="宋体"/>
                                <w:sz w:val="24"/>
                                <w:szCs w:val="24"/>
                                <w:u w:val="single"/>
                              </w:rPr>
                              <w:t xml:space="preserve">                                                  </w:t>
                            </w:r>
                          </w:p>
                          <w:p w14:paraId="41DC8A1A">
                            <w:pPr>
                              <w:snapToGrid w:val="0"/>
                              <w:spacing w:line="360" w:lineRule="auto"/>
                              <w:ind w:firstLine="560"/>
                              <w:rPr>
                                <w:rFonts w:ascii="宋体" w:hAnsi="宋体" w:eastAsia="宋体"/>
                                <w:sz w:val="24"/>
                                <w:szCs w:val="24"/>
                              </w:rPr>
                            </w:pPr>
                            <w:r>
                              <w:rPr>
                                <w:rFonts w:hint="eastAsia" w:ascii="宋体" w:hAnsi="宋体" w:eastAsia="宋体"/>
                                <w:sz w:val="24"/>
                                <w:szCs w:val="24"/>
                              </w:rPr>
                              <w:t>法定代表人（负责人）：</w:t>
                            </w:r>
                            <w:r>
                              <w:rPr>
                                <w:rFonts w:ascii="宋体" w:hAnsi="宋体" w:eastAsia="宋体"/>
                                <w:sz w:val="24"/>
                                <w:szCs w:val="24"/>
                                <w:u w:val="single"/>
                              </w:rPr>
                              <w:t xml:space="preserve">                 </w:t>
                            </w:r>
                            <w:r>
                              <w:rPr>
                                <w:rFonts w:hint="eastAsia" w:ascii="宋体" w:hAnsi="宋体" w:eastAsia="宋体"/>
                                <w:sz w:val="24"/>
                                <w:szCs w:val="24"/>
                              </w:rPr>
                              <w:t>（签字</w:t>
                            </w:r>
                            <w:r>
                              <w:rPr>
                                <w:rFonts w:hint="eastAsia" w:ascii="宋体" w:hAnsi="宋体" w:eastAsia="宋体"/>
                                <w:color w:val="000000"/>
                                <w:sz w:val="24"/>
                                <w:szCs w:val="24"/>
                              </w:rPr>
                              <w:t>或盖章</w:t>
                            </w:r>
                            <w:r>
                              <w:rPr>
                                <w:rFonts w:hint="eastAsia" w:ascii="宋体" w:hAnsi="宋体" w:eastAsia="宋体"/>
                                <w:sz w:val="24"/>
                                <w:szCs w:val="24"/>
                              </w:rPr>
                              <w:t>）</w:t>
                            </w:r>
                          </w:p>
                          <w:p w14:paraId="382C2C89">
                            <w:pPr>
                              <w:snapToGrid w:val="0"/>
                              <w:spacing w:line="360" w:lineRule="auto"/>
                              <w:ind w:firstLine="560"/>
                              <w:rPr>
                                <w:rFonts w:ascii="宋体" w:hAnsi="宋体" w:eastAsia="宋体"/>
                                <w:sz w:val="24"/>
                                <w:szCs w:val="24"/>
                              </w:rPr>
                            </w:pPr>
                            <w:r>
                              <w:rPr>
                                <w:rFonts w:hint="eastAsia" w:ascii="宋体" w:hAnsi="宋体" w:eastAsia="宋体"/>
                                <w:sz w:val="24"/>
                                <w:szCs w:val="24"/>
                              </w:rPr>
                              <w:t>授权单位：（盖公章）</w:t>
                            </w:r>
                            <w:r>
                              <w:rPr>
                                <w:rFonts w:ascii="宋体" w:hAnsi="宋体" w:eastAsia="宋体"/>
                                <w:sz w:val="24"/>
                                <w:szCs w:val="24"/>
                                <w:u w:val="single"/>
                              </w:rPr>
                              <w:t xml:space="preserve">                     </w:t>
                            </w:r>
                            <w:r>
                              <w:rPr>
                                <w:rFonts w:ascii="宋体" w:hAnsi="宋体" w:eastAsia="宋体"/>
                                <w:sz w:val="24"/>
                                <w:szCs w:val="24"/>
                              </w:rPr>
                              <w:t xml:space="preserve"> </w:t>
                            </w:r>
                          </w:p>
                          <w:p w14:paraId="10C10B1B">
                            <w:pPr>
                              <w:spacing w:line="360" w:lineRule="auto"/>
                              <w:ind w:firstLine="70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txbxContent>
                      </wps:txbx>
                      <wps:bodyPr upright="1">
                        <a:noAutofit/>
                      </wps:bodyPr>
                    </wps:wsp>
                  </a:graphicData>
                </a:graphic>
              </wp:anchor>
            </w:drawing>
          </mc:Choice>
          <mc:Fallback>
            <w:pict>
              <v:shape id="_x0000_s1026" o:spid="_x0000_s1026" o:spt="202" type="#_x0000_t202" style="position:absolute;left:0pt;margin-left:-10.55pt;margin-top:10.5pt;height:218.25pt;width:468pt;z-index:251660288;mso-width-relative:page;mso-height-relative:page;" fillcolor="#FFFFFF" filled="t" stroked="t" coordsize="21600,21600" o:gfxdata="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gtZZ2gAAAAoBAAAPAAAAAAAAAAEAIAAAACIAAABkcnMvZG93bnJldi54&#10;bWxQSwECFAAUAAAACACHTuJA2uMhKjECAACDBAAADgAAAAAAAAABACAAAAApAQAAZHJzL2Uyb0Rv&#10;Yy54bWxQSwUGAAAAAAYABgBZAQAAzAUAAAAA&#10;">
                <v:fill on="t" focussize="0,0"/>
                <v:stroke color="#000000" joinstyle="miter"/>
                <v:imagedata o:title=""/>
                <o:lock v:ext="edit" aspectratio="f"/>
                <v:textbox>
                  <w:txbxContent>
                    <w:p w14:paraId="4AD5F475">
                      <w:pPr>
                        <w:spacing w:before="120" w:line="360" w:lineRule="auto"/>
                        <w:ind w:firstLine="560"/>
                        <w:rPr>
                          <w:rFonts w:ascii="宋体" w:hAnsi="宋体" w:eastAsia="宋体"/>
                          <w:sz w:val="24"/>
                          <w:szCs w:val="24"/>
                        </w:rPr>
                      </w:pPr>
                      <w:r>
                        <w:rPr>
                          <w:rFonts w:hint="eastAsia" w:ascii="宋体" w:hAnsi="宋体" w:eastAsia="宋体"/>
                          <w:sz w:val="24"/>
                          <w:szCs w:val="24"/>
                        </w:rPr>
                        <w:t>兹授权</w:t>
                      </w:r>
                      <w:r>
                        <w:rPr>
                          <w:rFonts w:ascii="宋体" w:hAnsi="宋体" w:eastAsia="宋体"/>
                          <w:sz w:val="24"/>
                          <w:szCs w:val="24"/>
                          <w:u w:val="single"/>
                        </w:rPr>
                        <w:t xml:space="preserve">                </w:t>
                      </w:r>
                      <w:r>
                        <w:rPr>
                          <w:rFonts w:hint="eastAsia" w:ascii="宋体" w:hAnsi="宋体" w:eastAsia="宋体"/>
                          <w:sz w:val="24"/>
                          <w:szCs w:val="24"/>
                        </w:rPr>
                        <w:t>为我方委托代理人，其权限是：</w:t>
                      </w:r>
                      <w:r>
                        <w:rPr>
                          <w:rFonts w:ascii="宋体" w:hAnsi="宋体" w:eastAsia="宋体"/>
                          <w:sz w:val="24"/>
                          <w:szCs w:val="24"/>
                          <w:u w:val="single"/>
                        </w:rPr>
                        <w:t xml:space="preserve">          </w:t>
                      </w:r>
                    </w:p>
                    <w:p w14:paraId="7CFA5ABF">
                      <w:pPr>
                        <w:snapToGrid w:val="0"/>
                        <w:spacing w:line="360" w:lineRule="auto"/>
                        <w:rPr>
                          <w:rFonts w:ascii="宋体" w:hAnsi="宋体" w:eastAsia="宋体"/>
                          <w:sz w:val="24"/>
                          <w:szCs w:val="24"/>
                          <w:u w:val="single"/>
                        </w:rPr>
                      </w:pPr>
                      <w:r>
                        <w:rPr>
                          <w:rFonts w:ascii="宋体" w:hAnsi="宋体" w:eastAsia="宋体"/>
                          <w:sz w:val="24"/>
                          <w:szCs w:val="24"/>
                          <w:u w:val="single"/>
                        </w:rPr>
                        <w:t xml:space="preserve">                                                                </w:t>
                      </w:r>
                    </w:p>
                    <w:p w14:paraId="4037B6A3">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ascii="宋体" w:hAnsi="宋体" w:eastAsia="宋体"/>
                          <w:sz w:val="24"/>
                          <w:szCs w:val="24"/>
                          <w:u w:val="single"/>
                        </w:rPr>
                        <w:t xml:space="preserve">                                                      </w:t>
                      </w:r>
                    </w:p>
                    <w:p w14:paraId="14207B51">
                      <w:pPr>
                        <w:snapToGrid w:val="0"/>
                        <w:spacing w:line="360" w:lineRule="auto"/>
                        <w:rPr>
                          <w:rFonts w:ascii="宋体" w:hAnsi="宋体" w:eastAsia="宋体"/>
                          <w:sz w:val="24"/>
                          <w:szCs w:val="24"/>
                        </w:rPr>
                      </w:pPr>
                      <w:r>
                        <w:rPr>
                          <w:rFonts w:hint="eastAsia" w:ascii="宋体" w:hAnsi="宋体" w:eastAsia="宋体"/>
                          <w:sz w:val="24"/>
                          <w:szCs w:val="24"/>
                        </w:rPr>
                        <w:t>附：代理人性别：</w:t>
                      </w:r>
                      <w:r>
                        <w:rPr>
                          <w:rFonts w:ascii="宋体" w:hAnsi="宋体" w:eastAsia="宋体"/>
                          <w:sz w:val="24"/>
                          <w:szCs w:val="24"/>
                          <w:u w:val="single"/>
                        </w:rPr>
                        <w:t xml:space="preserve">     </w:t>
                      </w:r>
                      <w:r>
                        <w:rPr>
                          <w:rFonts w:hint="eastAsia" w:ascii="宋体" w:hAnsi="宋体" w:eastAsia="宋体"/>
                          <w:sz w:val="24"/>
                          <w:szCs w:val="24"/>
                        </w:rPr>
                        <w:t>年龄：</w:t>
                      </w:r>
                      <w:r>
                        <w:rPr>
                          <w:rFonts w:ascii="宋体" w:hAnsi="宋体" w:eastAsia="宋体"/>
                          <w:sz w:val="24"/>
                          <w:szCs w:val="24"/>
                          <w:u w:val="single"/>
                        </w:rPr>
                        <w:t xml:space="preserve">     </w:t>
                      </w:r>
                      <w:r>
                        <w:rPr>
                          <w:rFonts w:hint="eastAsia" w:ascii="宋体" w:hAnsi="宋体" w:eastAsia="宋体"/>
                          <w:sz w:val="24"/>
                          <w:szCs w:val="24"/>
                        </w:rPr>
                        <w:t>身份证号码：</w:t>
                      </w:r>
                      <w:r>
                        <w:rPr>
                          <w:rFonts w:ascii="宋体" w:hAnsi="宋体" w:eastAsia="宋体"/>
                          <w:sz w:val="24"/>
                          <w:szCs w:val="24"/>
                          <w:u w:val="single"/>
                        </w:rPr>
                        <w:t xml:space="preserve">                    </w:t>
                      </w:r>
                    </w:p>
                    <w:p w14:paraId="4CB14C95">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注册号码：</w:t>
                      </w:r>
                      <w:r>
                        <w:rPr>
                          <w:rFonts w:ascii="宋体" w:hAnsi="宋体" w:eastAsia="宋体"/>
                          <w:sz w:val="24"/>
                          <w:szCs w:val="24"/>
                          <w:u w:val="single"/>
                        </w:rPr>
                        <w:t xml:space="preserve">                  </w:t>
                      </w:r>
                      <w:r>
                        <w:rPr>
                          <w:rFonts w:hint="eastAsia" w:ascii="宋体" w:hAnsi="宋体" w:eastAsia="宋体"/>
                          <w:sz w:val="24"/>
                          <w:szCs w:val="24"/>
                        </w:rPr>
                        <w:t>企业类型：</w:t>
                      </w:r>
                      <w:r>
                        <w:rPr>
                          <w:rFonts w:ascii="宋体" w:hAnsi="宋体" w:eastAsia="宋体"/>
                          <w:sz w:val="24"/>
                          <w:szCs w:val="24"/>
                          <w:u w:val="single"/>
                        </w:rPr>
                        <w:t xml:space="preserve">                      </w:t>
                      </w:r>
                    </w:p>
                    <w:p w14:paraId="7968A041">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经营范围：</w:t>
                      </w:r>
                      <w:r>
                        <w:rPr>
                          <w:rFonts w:ascii="宋体" w:hAnsi="宋体" w:eastAsia="宋体"/>
                          <w:sz w:val="24"/>
                          <w:szCs w:val="24"/>
                          <w:u w:val="single"/>
                        </w:rPr>
                        <w:t xml:space="preserve">                                                  </w:t>
                      </w:r>
                    </w:p>
                    <w:p w14:paraId="41DC8A1A">
                      <w:pPr>
                        <w:snapToGrid w:val="0"/>
                        <w:spacing w:line="360" w:lineRule="auto"/>
                        <w:ind w:firstLine="560"/>
                        <w:rPr>
                          <w:rFonts w:ascii="宋体" w:hAnsi="宋体" w:eastAsia="宋体"/>
                          <w:sz w:val="24"/>
                          <w:szCs w:val="24"/>
                        </w:rPr>
                      </w:pPr>
                      <w:r>
                        <w:rPr>
                          <w:rFonts w:hint="eastAsia" w:ascii="宋体" w:hAnsi="宋体" w:eastAsia="宋体"/>
                          <w:sz w:val="24"/>
                          <w:szCs w:val="24"/>
                        </w:rPr>
                        <w:t>法定代表人（负责人）：</w:t>
                      </w:r>
                      <w:r>
                        <w:rPr>
                          <w:rFonts w:ascii="宋体" w:hAnsi="宋体" w:eastAsia="宋体"/>
                          <w:sz w:val="24"/>
                          <w:szCs w:val="24"/>
                          <w:u w:val="single"/>
                        </w:rPr>
                        <w:t xml:space="preserve">                 </w:t>
                      </w:r>
                      <w:r>
                        <w:rPr>
                          <w:rFonts w:hint="eastAsia" w:ascii="宋体" w:hAnsi="宋体" w:eastAsia="宋体"/>
                          <w:sz w:val="24"/>
                          <w:szCs w:val="24"/>
                        </w:rPr>
                        <w:t>（签字</w:t>
                      </w:r>
                      <w:r>
                        <w:rPr>
                          <w:rFonts w:hint="eastAsia" w:ascii="宋体" w:hAnsi="宋体" w:eastAsia="宋体"/>
                          <w:color w:val="000000"/>
                          <w:sz w:val="24"/>
                          <w:szCs w:val="24"/>
                        </w:rPr>
                        <w:t>或盖章</w:t>
                      </w:r>
                      <w:r>
                        <w:rPr>
                          <w:rFonts w:hint="eastAsia" w:ascii="宋体" w:hAnsi="宋体" w:eastAsia="宋体"/>
                          <w:sz w:val="24"/>
                          <w:szCs w:val="24"/>
                        </w:rPr>
                        <w:t>）</w:t>
                      </w:r>
                    </w:p>
                    <w:p w14:paraId="382C2C89">
                      <w:pPr>
                        <w:snapToGrid w:val="0"/>
                        <w:spacing w:line="360" w:lineRule="auto"/>
                        <w:ind w:firstLine="560"/>
                        <w:rPr>
                          <w:rFonts w:ascii="宋体" w:hAnsi="宋体" w:eastAsia="宋体"/>
                          <w:sz w:val="24"/>
                          <w:szCs w:val="24"/>
                        </w:rPr>
                      </w:pPr>
                      <w:r>
                        <w:rPr>
                          <w:rFonts w:hint="eastAsia" w:ascii="宋体" w:hAnsi="宋体" w:eastAsia="宋体"/>
                          <w:sz w:val="24"/>
                          <w:szCs w:val="24"/>
                        </w:rPr>
                        <w:t>授权单位：（盖公章）</w:t>
                      </w:r>
                      <w:r>
                        <w:rPr>
                          <w:rFonts w:ascii="宋体" w:hAnsi="宋体" w:eastAsia="宋体"/>
                          <w:sz w:val="24"/>
                          <w:szCs w:val="24"/>
                          <w:u w:val="single"/>
                        </w:rPr>
                        <w:t xml:space="preserve">                     </w:t>
                      </w:r>
                      <w:r>
                        <w:rPr>
                          <w:rFonts w:ascii="宋体" w:hAnsi="宋体" w:eastAsia="宋体"/>
                          <w:sz w:val="24"/>
                          <w:szCs w:val="24"/>
                        </w:rPr>
                        <w:t xml:space="preserve"> </w:t>
                      </w:r>
                    </w:p>
                    <w:p w14:paraId="10C10B1B">
                      <w:pPr>
                        <w:spacing w:line="360" w:lineRule="auto"/>
                        <w:ind w:firstLine="70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txbxContent>
                </v:textbox>
              </v:shape>
            </w:pict>
          </mc:Fallback>
        </mc:AlternateContent>
      </w:r>
    </w:p>
    <w:p w14:paraId="752CE417">
      <w:pPr>
        <w:pStyle w:val="26"/>
        <w:rPr>
          <w:rFonts w:ascii="宋体" w:hAnsi="宋体"/>
          <w:highlight w:val="none"/>
        </w:rPr>
      </w:pPr>
    </w:p>
    <w:p w14:paraId="5BCB7F3E">
      <w:pPr>
        <w:pStyle w:val="26"/>
        <w:rPr>
          <w:rFonts w:ascii="宋体" w:hAnsi="宋体"/>
          <w:highlight w:val="none"/>
        </w:rPr>
      </w:pPr>
    </w:p>
    <w:p w14:paraId="7EF01F03">
      <w:pPr>
        <w:pStyle w:val="26"/>
        <w:rPr>
          <w:rFonts w:ascii="宋体" w:hAnsi="宋体"/>
          <w:highlight w:val="none"/>
        </w:rPr>
      </w:pPr>
    </w:p>
    <w:p w14:paraId="5CA95848">
      <w:pPr>
        <w:pStyle w:val="26"/>
        <w:rPr>
          <w:rFonts w:ascii="宋体" w:hAnsi="宋体"/>
          <w:highlight w:val="none"/>
        </w:rPr>
      </w:pPr>
    </w:p>
    <w:p w14:paraId="244BCCEB">
      <w:pPr>
        <w:pStyle w:val="26"/>
        <w:rPr>
          <w:rFonts w:ascii="宋体" w:hAnsi="宋体"/>
          <w:highlight w:val="none"/>
        </w:rPr>
      </w:pPr>
    </w:p>
    <w:p w14:paraId="58DD7757">
      <w:pPr>
        <w:spacing w:line="360" w:lineRule="auto"/>
        <w:jc w:val="left"/>
        <w:rPr>
          <w:rFonts w:ascii="宋体" w:hAnsi="宋体" w:eastAsia="宋体"/>
          <w:highlight w:val="none"/>
        </w:rPr>
      </w:pPr>
    </w:p>
    <w:p w14:paraId="63185EA3">
      <w:pPr>
        <w:spacing w:line="360" w:lineRule="auto"/>
        <w:jc w:val="left"/>
        <w:rPr>
          <w:rFonts w:ascii="宋体" w:hAnsi="宋体" w:eastAsia="宋体"/>
          <w:highlight w:val="none"/>
        </w:rPr>
      </w:pPr>
    </w:p>
    <w:p w14:paraId="039E60F3">
      <w:pPr>
        <w:spacing w:line="360" w:lineRule="auto"/>
        <w:jc w:val="left"/>
        <w:rPr>
          <w:rFonts w:ascii="宋体" w:hAnsi="宋体" w:eastAsia="宋体"/>
          <w:highlight w:val="none"/>
        </w:rPr>
      </w:pPr>
    </w:p>
    <w:p w14:paraId="11D32DB6">
      <w:pPr>
        <w:spacing w:line="360" w:lineRule="auto"/>
        <w:jc w:val="left"/>
        <w:rPr>
          <w:rFonts w:ascii="宋体" w:hAnsi="宋体" w:eastAsia="宋体"/>
          <w:highlight w:val="none"/>
        </w:rPr>
      </w:pPr>
    </w:p>
    <w:p w14:paraId="4D83D0FE">
      <w:pPr>
        <w:spacing w:line="360" w:lineRule="auto"/>
        <w:jc w:val="left"/>
        <w:rPr>
          <w:rFonts w:ascii="宋体" w:hAnsi="宋体" w:eastAsia="宋体"/>
          <w:highlight w:val="none"/>
        </w:rPr>
      </w:pPr>
    </w:p>
    <w:p w14:paraId="33B57D36">
      <w:pPr>
        <w:spacing w:line="360" w:lineRule="auto"/>
        <w:jc w:val="left"/>
        <w:rPr>
          <w:rFonts w:ascii="宋体" w:hAnsi="宋体" w:eastAsia="宋体"/>
          <w:highlight w:val="none"/>
        </w:rPr>
      </w:pPr>
      <w:r>
        <w:rPr>
          <w:rFonts w:hint="eastAsia" w:ascii="宋体" w:hAnsi="宋体" w:eastAsia="宋体"/>
          <w:highlight w:val="none"/>
        </w:rPr>
        <w:t>备注：也可使用从工商管理部门购买的格式填写。</w:t>
      </w:r>
    </w:p>
    <w:p w14:paraId="24827D6B">
      <w:pPr>
        <w:widowControl/>
        <w:jc w:val="left"/>
        <w:rPr>
          <w:rFonts w:ascii="宋体" w:hAnsi="宋体" w:eastAsia="宋体"/>
          <w:highlight w:val="none"/>
        </w:rPr>
      </w:pPr>
      <w:r>
        <w:rPr>
          <w:rFonts w:ascii="宋体" w:hAnsi="宋体" w:eastAsia="宋体"/>
          <w:highlight w:val="none"/>
        </w:rPr>
        <w:br w:type="page"/>
      </w:r>
    </w:p>
    <w:p w14:paraId="4565B6B7">
      <w:pPr>
        <w:pStyle w:val="3"/>
        <w:rPr>
          <w:color w:val="auto"/>
          <w:highlight w:val="none"/>
        </w:rPr>
      </w:pPr>
      <w:bookmarkStart w:id="469" w:name="_Toc24393"/>
      <w:r>
        <w:rPr>
          <w:rFonts w:hint="eastAsia"/>
          <w:color w:val="auto"/>
          <w:highlight w:val="none"/>
        </w:rPr>
        <w:t>三、投标报价表</w:t>
      </w:r>
      <w:bookmarkEnd w:id="469"/>
    </w:p>
    <w:tbl>
      <w:tblPr>
        <w:tblStyle w:val="2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3260"/>
        <w:gridCol w:w="1108"/>
      </w:tblGrid>
      <w:tr w14:paraId="638C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390" w:type="dxa"/>
            <w:tcBorders>
              <w:top w:val="single" w:color="auto" w:sz="4" w:space="0"/>
              <w:left w:val="single" w:color="auto" w:sz="4" w:space="0"/>
              <w:bottom w:val="single" w:color="auto" w:sz="4" w:space="0"/>
              <w:right w:val="single" w:color="auto" w:sz="4" w:space="0"/>
            </w:tcBorders>
            <w:vAlign w:val="center"/>
          </w:tcPr>
          <w:p w14:paraId="3909C076">
            <w:pPr>
              <w:spacing w:line="276" w:lineRule="auto"/>
              <w:jc w:val="center"/>
              <w:rPr>
                <w:rFonts w:ascii="宋体" w:hAnsi="宋体" w:eastAsia="宋体"/>
                <w:b/>
                <w:sz w:val="24"/>
                <w:szCs w:val="24"/>
                <w:highlight w:val="none"/>
              </w:rPr>
            </w:pPr>
            <w:bookmarkStart w:id="470" w:name="_Toc361508760"/>
            <w:r>
              <w:rPr>
                <w:rFonts w:hint="eastAsia" w:ascii="宋体" w:hAnsi="宋体" w:eastAsia="宋体" w:cs="宋体"/>
                <w:b/>
                <w:sz w:val="24"/>
                <w:szCs w:val="24"/>
                <w:highlight w:val="none"/>
              </w:rPr>
              <w:t>主要工作</w:t>
            </w:r>
          </w:p>
        </w:tc>
        <w:tc>
          <w:tcPr>
            <w:tcW w:w="3260" w:type="dxa"/>
            <w:tcBorders>
              <w:top w:val="single" w:color="auto" w:sz="4" w:space="0"/>
              <w:left w:val="single" w:color="auto" w:sz="4" w:space="0"/>
              <w:bottom w:val="single" w:color="auto" w:sz="4" w:space="0"/>
              <w:right w:val="single" w:color="auto" w:sz="4" w:space="0"/>
            </w:tcBorders>
            <w:vAlign w:val="center"/>
          </w:tcPr>
          <w:p w14:paraId="49B2528E">
            <w:pPr>
              <w:spacing w:line="276" w:lineRule="auto"/>
              <w:jc w:val="center"/>
              <w:rPr>
                <w:rFonts w:ascii="宋体" w:hAnsi="宋体" w:eastAsia="宋体"/>
                <w:b/>
                <w:sz w:val="24"/>
                <w:szCs w:val="24"/>
                <w:highlight w:val="none"/>
              </w:rPr>
            </w:pPr>
            <w:r>
              <w:rPr>
                <w:rFonts w:hint="eastAsia" w:ascii="宋体" w:hAnsi="宋体" w:eastAsia="宋体" w:cs="宋体"/>
                <w:b/>
                <w:sz w:val="24"/>
                <w:szCs w:val="24"/>
                <w:highlight w:val="none"/>
              </w:rPr>
              <w:t>投标报价（元）</w:t>
            </w:r>
          </w:p>
        </w:tc>
        <w:tc>
          <w:tcPr>
            <w:tcW w:w="1108" w:type="dxa"/>
            <w:tcBorders>
              <w:top w:val="single" w:color="auto" w:sz="4" w:space="0"/>
              <w:left w:val="single" w:color="auto" w:sz="4" w:space="0"/>
              <w:bottom w:val="single" w:color="auto" w:sz="4" w:space="0"/>
              <w:right w:val="single" w:color="auto" w:sz="4" w:space="0"/>
            </w:tcBorders>
            <w:vAlign w:val="center"/>
          </w:tcPr>
          <w:p w14:paraId="2A31A0F6">
            <w:pPr>
              <w:spacing w:line="276" w:lineRule="auto"/>
              <w:jc w:val="center"/>
              <w:rPr>
                <w:rFonts w:ascii="宋体" w:hAnsi="宋体" w:eastAsia="宋体"/>
                <w:b/>
                <w:sz w:val="24"/>
                <w:szCs w:val="24"/>
                <w:highlight w:val="none"/>
              </w:rPr>
            </w:pPr>
            <w:r>
              <w:rPr>
                <w:rFonts w:hint="eastAsia" w:ascii="宋体" w:hAnsi="宋体" w:eastAsia="宋体"/>
                <w:b/>
                <w:sz w:val="24"/>
                <w:szCs w:val="24"/>
                <w:highlight w:val="none"/>
              </w:rPr>
              <w:t>备注</w:t>
            </w:r>
          </w:p>
        </w:tc>
      </w:tr>
      <w:tr w14:paraId="66BC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4390" w:type="dxa"/>
            <w:tcBorders>
              <w:top w:val="single" w:color="auto" w:sz="4" w:space="0"/>
              <w:left w:val="single" w:color="auto" w:sz="4" w:space="0"/>
              <w:bottom w:val="single" w:color="auto" w:sz="4" w:space="0"/>
              <w:right w:val="single" w:color="auto" w:sz="4" w:space="0"/>
            </w:tcBorders>
            <w:vAlign w:val="center"/>
          </w:tcPr>
          <w:p w14:paraId="5AA27655">
            <w:pPr>
              <w:spacing w:line="276" w:lineRule="auto"/>
              <w:jc w:val="center"/>
              <w:rPr>
                <w:rFonts w:ascii="宋体" w:hAnsi="宋体" w:eastAsia="宋体"/>
                <w:sz w:val="24"/>
                <w:szCs w:val="24"/>
                <w:highlight w:val="none"/>
              </w:rPr>
            </w:pPr>
            <w:r>
              <w:rPr>
                <w:rFonts w:hint="eastAsia" w:ascii="宋体" w:hAnsi="宋体" w:eastAsia="宋体"/>
                <w:sz w:val="24"/>
                <w:szCs w:val="24"/>
                <w:highlight w:val="none"/>
              </w:rPr>
              <w:t>广州市黄埔区云埔街火村社区莲潭经济合作社城中村改造项目（南湾村）改造方案与实施计划编制服务</w:t>
            </w:r>
          </w:p>
        </w:tc>
        <w:tc>
          <w:tcPr>
            <w:tcW w:w="3260" w:type="dxa"/>
            <w:tcBorders>
              <w:top w:val="single" w:color="auto" w:sz="4" w:space="0"/>
              <w:left w:val="single" w:color="auto" w:sz="4" w:space="0"/>
              <w:bottom w:val="single" w:color="auto" w:sz="4" w:space="0"/>
              <w:right w:val="single" w:color="auto" w:sz="4" w:space="0"/>
            </w:tcBorders>
            <w:vAlign w:val="center"/>
          </w:tcPr>
          <w:p w14:paraId="1C09A1AD">
            <w:pPr>
              <w:spacing w:line="276" w:lineRule="auto"/>
              <w:jc w:val="center"/>
              <w:rPr>
                <w:rFonts w:ascii="宋体" w:hAnsi="宋体" w:eastAsia="宋体"/>
                <w:sz w:val="24"/>
                <w:szCs w:val="24"/>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17AF740B">
            <w:pPr>
              <w:spacing w:line="276" w:lineRule="auto"/>
              <w:jc w:val="center"/>
              <w:rPr>
                <w:rFonts w:ascii="宋体" w:hAnsi="宋体" w:eastAsia="宋体"/>
                <w:sz w:val="24"/>
                <w:szCs w:val="24"/>
                <w:highlight w:val="none"/>
              </w:rPr>
            </w:pPr>
          </w:p>
        </w:tc>
      </w:tr>
    </w:tbl>
    <w:p w14:paraId="3B3DD541">
      <w:pPr>
        <w:spacing w:line="360" w:lineRule="auto"/>
        <w:rPr>
          <w:rFonts w:ascii="宋体" w:hAnsi="宋体" w:eastAsia="宋体"/>
          <w:sz w:val="24"/>
          <w:szCs w:val="24"/>
          <w:highlight w:val="none"/>
        </w:rPr>
      </w:pPr>
    </w:p>
    <w:p w14:paraId="7BC54716">
      <w:pPr>
        <w:widowControl/>
        <w:spacing w:line="360" w:lineRule="auto"/>
        <w:ind w:firstLine="1995" w:firstLineChars="950"/>
        <w:jc w:val="left"/>
        <w:rPr>
          <w:rFonts w:ascii="宋体" w:hAnsi="宋体" w:eastAsia="宋体"/>
          <w:highlight w:val="none"/>
        </w:rPr>
      </w:pPr>
      <w:r>
        <w:rPr>
          <w:rFonts w:hint="eastAsia" w:ascii="宋体" w:hAnsi="宋体" w:eastAsia="宋体"/>
          <w:highlight w:val="none"/>
        </w:rPr>
        <w:t>投标人：</w:t>
      </w:r>
      <w:r>
        <w:rPr>
          <w:rFonts w:ascii="宋体" w:hAnsi="宋体" w:eastAsia="宋体"/>
          <w:highlight w:val="none"/>
        </w:rPr>
        <w:t>(</w:t>
      </w:r>
      <w:r>
        <w:rPr>
          <w:rFonts w:hint="eastAsia" w:ascii="宋体" w:hAnsi="宋体" w:eastAsia="宋体"/>
          <w:highlight w:val="none"/>
        </w:rPr>
        <w:t>盖公章</w:t>
      </w:r>
      <w:r>
        <w:rPr>
          <w:rFonts w:ascii="宋体" w:hAnsi="宋体" w:eastAsia="宋体"/>
          <w:highlight w:val="none"/>
        </w:rPr>
        <w:t xml:space="preserve">)                                    </w:t>
      </w:r>
    </w:p>
    <w:p w14:paraId="6C0A8965">
      <w:pPr>
        <w:widowControl/>
        <w:spacing w:line="360" w:lineRule="auto"/>
        <w:ind w:firstLine="1995" w:firstLineChars="950"/>
        <w:jc w:val="left"/>
        <w:rPr>
          <w:rFonts w:ascii="宋体" w:hAnsi="宋体" w:eastAsia="宋体"/>
          <w:highlight w:val="none"/>
        </w:rPr>
      </w:pPr>
      <w:r>
        <w:rPr>
          <w:rFonts w:hint="eastAsia" w:ascii="宋体" w:hAnsi="宋体" w:eastAsia="宋体"/>
          <w:highlight w:val="none"/>
        </w:rPr>
        <w:t xml:space="preserve"> </w:t>
      </w:r>
      <w:r>
        <w:rPr>
          <w:rFonts w:ascii="宋体" w:hAnsi="宋体" w:eastAsia="宋体"/>
          <w:highlight w:val="none"/>
        </w:rPr>
        <w:t xml:space="preserve">       </w:t>
      </w:r>
    </w:p>
    <w:p w14:paraId="273E3DC7">
      <w:pPr>
        <w:widowControl/>
        <w:spacing w:line="360" w:lineRule="auto"/>
        <w:ind w:firstLine="1995" w:firstLineChars="950"/>
        <w:jc w:val="left"/>
        <w:rPr>
          <w:rFonts w:ascii="宋体" w:hAnsi="宋体" w:eastAsia="宋体"/>
          <w:highlight w:val="none"/>
        </w:rPr>
      </w:pPr>
      <w:r>
        <w:rPr>
          <w:rFonts w:hint="eastAsia" w:ascii="宋体" w:hAnsi="宋体" w:eastAsia="宋体"/>
          <w:highlight w:val="none"/>
        </w:rPr>
        <w:t>日期：</w:t>
      </w:r>
      <w:r>
        <w:rPr>
          <w:rFonts w:ascii="宋体" w:hAnsi="宋体" w:eastAsia="宋体"/>
          <w:highlight w:val="none"/>
        </w:rPr>
        <w:t xml:space="preserve">        </w:t>
      </w:r>
      <w:r>
        <w:rPr>
          <w:rFonts w:hint="eastAsia" w:ascii="宋体" w:hAnsi="宋体" w:eastAsia="宋体"/>
          <w:highlight w:val="none"/>
        </w:rPr>
        <w:t>年</w:t>
      </w:r>
      <w:r>
        <w:rPr>
          <w:rFonts w:ascii="宋体" w:hAnsi="宋体" w:eastAsia="宋体"/>
          <w:highlight w:val="none"/>
        </w:rPr>
        <w:t xml:space="preserve">       </w:t>
      </w:r>
      <w:r>
        <w:rPr>
          <w:rFonts w:hint="eastAsia" w:ascii="宋体" w:hAnsi="宋体" w:eastAsia="宋体"/>
          <w:highlight w:val="none"/>
        </w:rPr>
        <w:t>月</w:t>
      </w:r>
      <w:r>
        <w:rPr>
          <w:rFonts w:ascii="宋体" w:hAnsi="宋体" w:eastAsia="宋体"/>
          <w:highlight w:val="none"/>
        </w:rPr>
        <w:t xml:space="preserve">      </w:t>
      </w:r>
      <w:r>
        <w:rPr>
          <w:rFonts w:hint="eastAsia" w:ascii="宋体" w:hAnsi="宋体" w:eastAsia="宋体"/>
          <w:highlight w:val="none"/>
        </w:rPr>
        <w:t>日</w:t>
      </w:r>
    </w:p>
    <w:p w14:paraId="1BB82488">
      <w:pPr>
        <w:spacing w:line="360" w:lineRule="auto"/>
        <w:rPr>
          <w:rFonts w:ascii="宋体" w:hAnsi="宋体" w:eastAsia="宋体"/>
          <w:sz w:val="24"/>
          <w:szCs w:val="24"/>
          <w:highlight w:val="none"/>
        </w:rPr>
      </w:pPr>
    </w:p>
    <w:p w14:paraId="140F8D23">
      <w:pPr>
        <w:widowControl/>
        <w:jc w:val="left"/>
        <w:rPr>
          <w:rFonts w:ascii="宋体" w:hAnsi="宋体" w:eastAsia="宋体"/>
          <w:sz w:val="24"/>
          <w:szCs w:val="24"/>
          <w:highlight w:val="none"/>
        </w:rPr>
      </w:pPr>
      <w:r>
        <w:rPr>
          <w:rFonts w:ascii="宋体" w:hAnsi="宋体" w:eastAsia="宋体"/>
          <w:sz w:val="24"/>
          <w:szCs w:val="24"/>
          <w:highlight w:val="none"/>
        </w:rPr>
        <w:br w:type="page"/>
      </w:r>
    </w:p>
    <w:p w14:paraId="16B5EEE7">
      <w:pPr>
        <w:pStyle w:val="3"/>
        <w:rPr>
          <w:color w:val="auto"/>
          <w:highlight w:val="none"/>
        </w:rPr>
      </w:pPr>
      <w:bookmarkStart w:id="471" w:name="_Toc30030"/>
      <w:r>
        <w:rPr>
          <w:rFonts w:hint="eastAsia"/>
          <w:color w:val="auto"/>
          <w:highlight w:val="none"/>
        </w:rPr>
        <w:t>四、资格审查资料</w:t>
      </w:r>
      <w:bookmarkEnd w:id="471"/>
    </w:p>
    <w:p w14:paraId="64B17B6C">
      <w:pPr>
        <w:spacing w:line="360" w:lineRule="auto"/>
        <w:rPr>
          <w:rFonts w:ascii="宋体" w:hAnsi="宋体" w:eastAsia="宋体"/>
          <w:sz w:val="24"/>
          <w:szCs w:val="24"/>
          <w:highlight w:val="none"/>
        </w:rPr>
      </w:pPr>
      <w:r>
        <w:rPr>
          <w:rFonts w:hint="eastAsia" w:ascii="宋体" w:hAnsi="宋体" w:eastAsia="宋体"/>
          <w:sz w:val="24"/>
          <w:szCs w:val="24"/>
          <w:highlight w:val="none"/>
        </w:rPr>
        <w:t>根据招标公告“投标人资格要求”提供相关资料。</w:t>
      </w:r>
    </w:p>
    <w:p w14:paraId="5B931E56">
      <w:pPr>
        <w:widowControl/>
        <w:jc w:val="left"/>
        <w:rPr>
          <w:rFonts w:ascii="宋体" w:hAnsi="宋体" w:eastAsia="宋体" w:cs="Times New Roman"/>
          <w:b/>
          <w:sz w:val="30"/>
          <w:szCs w:val="30"/>
          <w:highlight w:val="none"/>
        </w:rPr>
      </w:pPr>
      <w:r>
        <w:rPr>
          <w:rFonts w:ascii="宋体" w:hAnsi="宋体" w:eastAsia="宋体"/>
          <w:highlight w:val="none"/>
        </w:rPr>
        <w:br w:type="page"/>
      </w:r>
    </w:p>
    <w:p w14:paraId="3593D22C">
      <w:pPr>
        <w:pStyle w:val="3"/>
        <w:rPr>
          <w:color w:val="auto"/>
          <w:highlight w:val="none"/>
        </w:rPr>
      </w:pPr>
      <w:bookmarkStart w:id="472" w:name="_Toc30277"/>
      <w:r>
        <w:rPr>
          <w:rFonts w:hint="eastAsia"/>
          <w:color w:val="auto"/>
          <w:highlight w:val="none"/>
        </w:rPr>
        <w:t>五、投标人声明</w:t>
      </w:r>
      <w:bookmarkEnd w:id="472"/>
    </w:p>
    <w:p w14:paraId="3E2C5452">
      <w:pPr>
        <w:pStyle w:val="102"/>
        <w:ind w:firstLine="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按招标公告附件一提供。</w:t>
      </w:r>
    </w:p>
    <w:p w14:paraId="0D0D2582">
      <w:pPr>
        <w:pStyle w:val="102"/>
        <w:ind w:firstLine="0"/>
        <w:jc w:val="left"/>
        <w:rPr>
          <w:rFonts w:ascii="宋体" w:hAnsi="宋体" w:eastAsia="宋体"/>
          <w:color w:val="auto"/>
          <w:sz w:val="24"/>
          <w:szCs w:val="24"/>
          <w:highlight w:val="none"/>
        </w:rPr>
      </w:pPr>
    </w:p>
    <w:p w14:paraId="735329A7">
      <w:pPr>
        <w:pStyle w:val="102"/>
        <w:ind w:firstLine="0"/>
        <w:jc w:val="left"/>
        <w:rPr>
          <w:rFonts w:ascii="宋体" w:hAnsi="宋体" w:eastAsia="宋体"/>
          <w:color w:val="auto"/>
          <w:sz w:val="24"/>
          <w:szCs w:val="24"/>
          <w:highlight w:val="none"/>
        </w:rPr>
      </w:pPr>
    </w:p>
    <w:p w14:paraId="7DA7DDBC">
      <w:pPr>
        <w:pStyle w:val="102"/>
        <w:ind w:firstLine="0"/>
        <w:jc w:val="left"/>
        <w:rPr>
          <w:rFonts w:ascii="宋体" w:hAnsi="宋体" w:eastAsia="宋体"/>
          <w:color w:val="auto"/>
          <w:sz w:val="24"/>
          <w:szCs w:val="24"/>
          <w:highlight w:val="none"/>
        </w:rPr>
      </w:pPr>
    </w:p>
    <w:p w14:paraId="16C9FA5A">
      <w:pPr>
        <w:pStyle w:val="102"/>
        <w:ind w:firstLine="0"/>
        <w:jc w:val="left"/>
        <w:rPr>
          <w:rFonts w:ascii="宋体" w:hAnsi="宋体" w:eastAsia="宋体"/>
          <w:color w:val="auto"/>
          <w:sz w:val="24"/>
          <w:szCs w:val="24"/>
          <w:highlight w:val="none"/>
        </w:rPr>
      </w:pPr>
    </w:p>
    <w:p w14:paraId="2E5BF887">
      <w:pPr>
        <w:pStyle w:val="102"/>
        <w:ind w:firstLine="0"/>
        <w:jc w:val="left"/>
        <w:rPr>
          <w:rFonts w:ascii="宋体" w:hAnsi="宋体" w:eastAsia="宋体"/>
          <w:color w:val="auto"/>
          <w:sz w:val="24"/>
          <w:szCs w:val="24"/>
          <w:highlight w:val="none"/>
        </w:rPr>
      </w:pPr>
    </w:p>
    <w:p w14:paraId="07F17089">
      <w:pPr>
        <w:spacing w:line="360" w:lineRule="auto"/>
        <w:rPr>
          <w:rFonts w:ascii="宋体" w:hAnsi="宋体" w:eastAsia="宋体"/>
          <w:highlight w:val="none"/>
        </w:rPr>
      </w:pPr>
    </w:p>
    <w:p w14:paraId="19795170">
      <w:pPr>
        <w:rPr>
          <w:rFonts w:ascii="宋体" w:hAnsi="宋体" w:eastAsia="宋体"/>
          <w:highlight w:val="none"/>
        </w:rPr>
        <w:sectPr>
          <w:pgSz w:w="11906" w:h="16838"/>
          <w:pgMar w:top="1440" w:right="1800" w:bottom="1440" w:left="1800" w:header="720" w:footer="720" w:gutter="0"/>
          <w:cols w:space="720" w:num="1"/>
          <w:docGrid w:linePitch="286" w:charSpace="0"/>
        </w:sectPr>
      </w:pPr>
    </w:p>
    <w:bookmarkEnd w:id="470"/>
    <w:p w14:paraId="6C19DA01">
      <w:pPr>
        <w:pStyle w:val="3"/>
        <w:rPr>
          <w:color w:val="auto"/>
          <w:highlight w:val="none"/>
        </w:rPr>
      </w:pPr>
      <w:bookmarkStart w:id="473" w:name="_Toc20988"/>
      <w:bookmarkStart w:id="474" w:name="_Toc533084451"/>
      <w:r>
        <w:rPr>
          <w:rFonts w:hint="eastAsia"/>
          <w:color w:val="auto"/>
          <w:highlight w:val="none"/>
        </w:rPr>
        <w:t>六、商务部分证明材料</w:t>
      </w:r>
      <w:bookmarkEnd w:id="473"/>
    </w:p>
    <w:bookmarkEnd w:id="474"/>
    <w:p w14:paraId="7C364D81">
      <w:pPr>
        <w:spacing w:line="360" w:lineRule="auto"/>
        <w:rPr>
          <w:rFonts w:ascii="宋体" w:hAnsi="宋体" w:eastAsia="宋体"/>
          <w:sz w:val="24"/>
          <w:szCs w:val="24"/>
          <w:highlight w:val="none"/>
        </w:rPr>
      </w:pPr>
      <w:r>
        <w:rPr>
          <w:rFonts w:hint="eastAsia" w:ascii="宋体" w:hAnsi="宋体" w:eastAsia="宋体"/>
          <w:sz w:val="24"/>
          <w:szCs w:val="24"/>
          <w:highlight w:val="none"/>
        </w:rPr>
        <w:t>根据商务部分评分标准提供相关证明材料。</w:t>
      </w:r>
    </w:p>
    <w:p w14:paraId="17F1E76E">
      <w:pPr>
        <w:spacing w:line="360" w:lineRule="auto"/>
        <w:rPr>
          <w:rFonts w:ascii="宋体" w:hAnsi="宋体" w:eastAsia="宋体"/>
          <w:highlight w:val="none"/>
        </w:rPr>
      </w:pPr>
      <w:r>
        <w:rPr>
          <w:rFonts w:ascii="宋体" w:hAnsi="宋体" w:eastAsia="宋体"/>
          <w:sz w:val="24"/>
          <w:szCs w:val="24"/>
          <w:highlight w:val="none"/>
        </w:rPr>
        <w:br w:type="page"/>
      </w:r>
    </w:p>
    <w:p w14:paraId="5AF7A6F5">
      <w:pPr>
        <w:pStyle w:val="3"/>
        <w:rPr>
          <w:color w:val="auto"/>
          <w:highlight w:val="none"/>
        </w:rPr>
      </w:pPr>
      <w:bookmarkStart w:id="475" w:name="_Toc27632"/>
      <w:r>
        <w:rPr>
          <w:rFonts w:hint="eastAsia"/>
          <w:color w:val="auto"/>
          <w:highlight w:val="none"/>
        </w:rPr>
        <w:t>七、技术服务方案</w:t>
      </w:r>
      <w:bookmarkEnd w:id="475"/>
    </w:p>
    <w:p w14:paraId="77404F1D">
      <w:pPr>
        <w:widowControl/>
        <w:jc w:val="left"/>
        <w:rPr>
          <w:rFonts w:ascii="宋体" w:hAnsi="宋体" w:eastAsia="宋体"/>
          <w:sz w:val="24"/>
          <w:szCs w:val="24"/>
          <w:highlight w:val="none"/>
        </w:rPr>
      </w:pPr>
      <w:r>
        <w:rPr>
          <w:rFonts w:hint="eastAsia" w:ascii="宋体" w:hAnsi="宋体" w:eastAsia="宋体"/>
          <w:sz w:val="24"/>
          <w:szCs w:val="24"/>
          <w:highlight w:val="none"/>
        </w:rPr>
        <w:t>根据技术服务方案评分标准自行编制。</w:t>
      </w:r>
    </w:p>
    <w:p w14:paraId="399AA2D5">
      <w:pPr>
        <w:widowControl/>
        <w:jc w:val="left"/>
        <w:rPr>
          <w:rFonts w:ascii="宋体" w:hAnsi="宋体" w:eastAsia="宋体" w:cs="Times New Roman"/>
          <w:szCs w:val="24"/>
          <w:highlight w:val="none"/>
        </w:rPr>
      </w:pPr>
      <w:r>
        <w:rPr>
          <w:rFonts w:ascii="宋体" w:hAnsi="宋体" w:eastAsia="宋体"/>
          <w:highlight w:val="none"/>
        </w:rPr>
        <w:br w:type="page"/>
      </w:r>
    </w:p>
    <w:p w14:paraId="20E72158">
      <w:pPr>
        <w:pStyle w:val="3"/>
        <w:rPr>
          <w:color w:val="auto"/>
          <w:highlight w:val="none"/>
        </w:rPr>
      </w:pPr>
      <w:bookmarkStart w:id="476" w:name="_Toc31741"/>
      <w:r>
        <w:rPr>
          <w:rFonts w:hint="eastAsia"/>
          <w:color w:val="auto"/>
          <w:highlight w:val="none"/>
        </w:rPr>
        <w:t>八、其他资料</w:t>
      </w:r>
      <w:bookmarkEnd w:id="476"/>
    </w:p>
    <w:p w14:paraId="1D74DB62">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投标人认为有必要提交的其他资料，格式自定。</w:t>
      </w:r>
    </w:p>
    <w:p w14:paraId="721DF9EC">
      <w:pPr>
        <w:widowControl/>
        <w:spacing w:line="360" w:lineRule="auto"/>
        <w:jc w:val="left"/>
        <w:rPr>
          <w:rFonts w:ascii="宋体" w:hAnsi="宋体" w:eastAsia="宋体"/>
          <w:sz w:val="24"/>
          <w:szCs w:val="24"/>
          <w:highlight w:val="none"/>
        </w:rPr>
      </w:pPr>
    </w:p>
    <w:p w14:paraId="5B1688D6">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E09A">
    <w:pPr>
      <w:pStyle w:val="18"/>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50</w:t>
    </w:r>
    <w:r>
      <w:rPr>
        <w:rFonts w:ascii="宋体" w:hAnsi="宋体"/>
        <w:sz w:val="21"/>
        <w:szCs w:val="21"/>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351565"/>
    <w:multiLevelType w:val="singleLevel"/>
    <w:tmpl w:val="EC351565"/>
    <w:lvl w:ilvl="0" w:tentative="0">
      <w:start w:val="1"/>
      <w:numFmt w:val="decimal"/>
      <w:suff w:val="nothing"/>
      <w:lvlText w:val="（%1）"/>
      <w:lvlJc w:val="left"/>
    </w:lvl>
  </w:abstractNum>
  <w:abstractNum w:abstractNumId="1">
    <w:nsid w:val="2491C386"/>
    <w:multiLevelType w:val="singleLevel"/>
    <w:tmpl w:val="2491C386"/>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GZhNmM2YTYwNGIyNDY5OTJlZmYwNzExYmM0NTYifQ=="/>
  </w:docVars>
  <w:rsids>
    <w:rsidRoot w:val="00E47EE4"/>
    <w:rsid w:val="00003BC7"/>
    <w:rsid w:val="00004627"/>
    <w:rsid w:val="00015E16"/>
    <w:rsid w:val="00022967"/>
    <w:rsid w:val="000360BE"/>
    <w:rsid w:val="00037F44"/>
    <w:rsid w:val="00062ADE"/>
    <w:rsid w:val="0006489F"/>
    <w:rsid w:val="00065B69"/>
    <w:rsid w:val="00080F01"/>
    <w:rsid w:val="000825C1"/>
    <w:rsid w:val="000966A2"/>
    <w:rsid w:val="000A1E11"/>
    <w:rsid w:val="000A29BC"/>
    <w:rsid w:val="000A70DA"/>
    <w:rsid w:val="000B2C7B"/>
    <w:rsid w:val="000B5678"/>
    <w:rsid w:val="000D60DC"/>
    <w:rsid w:val="000D730E"/>
    <w:rsid w:val="000E0941"/>
    <w:rsid w:val="000E0E99"/>
    <w:rsid w:val="000E18DC"/>
    <w:rsid w:val="000E1AB5"/>
    <w:rsid w:val="000E660B"/>
    <w:rsid w:val="000F05B1"/>
    <w:rsid w:val="000F31F5"/>
    <w:rsid w:val="000F520A"/>
    <w:rsid w:val="000F7EEF"/>
    <w:rsid w:val="00104FCA"/>
    <w:rsid w:val="0010577E"/>
    <w:rsid w:val="0011603F"/>
    <w:rsid w:val="00121FF8"/>
    <w:rsid w:val="00124311"/>
    <w:rsid w:val="00127805"/>
    <w:rsid w:val="00137D05"/>
    <w:rsid w:val="00150115"/>
    <w:rsid w:val="00151805"/>
    <w:rsid w:val="0015379E"/>
    <w:rsid w:val="00154F78"/>
    <w:rsid w:val="00155F59"/>
    <w:rsid w:val="001569A2"/>
    <w:rsid w:val="001619C8"/>
    <w:rsid w:val="00165045"/>
    <w:rsid w:val="001673C1"/>
    <w:rsid w:val="001677A3"/>
    <w:rsid w:val="00185EA7"/>
    <w:rsid w:val="00187E4F"/>
    <w:rsid w:val="00192820"/>
    <w:rsid w:val="00194F3F"/>
    <w:rsid w:val="001A1BCA"/>
    <w:rsid w:val="001A1BE4"/>
    <w:rsid w:val="001A7109"/>
    <w:rsid w:val="001B259B"/>
    <w:rsid w:val="001C0074"/>
    <w:rsid w:val="001C118C"/>
    <w:rsid w:val="001C572B"/>
    <w:rsid w:val="001C751E"/>
    <w:rsid w:val="001D4433"/>
    <w:rsid w:val="001E04D0"/>
    <w:rsid w:val="001E1577"/>
    <w:rsid w:val="001E6476"/>
    <w:rsid w:val="001F01B8"/>
    <w:rsid w:val="001F405D"/>
    <w:rsid w:val="001F55E1"/>
    <w:rsid w:val="001F5BEB"/>
    <w:rsid w:val="00204890"/>
    <w:rsid w:val="0020659B"/>
    <w:rsid w:val="0022411E"/>
    <w:rsid w:val="0022784D"/>
    <w:rsid w:val="002453EB"/>
    <w:rsid w:val="00254CEA"/>
    <w:rsid w:val="00261CA1"/>
    <w:rsid w:val="002636D6"/>
    <w:rsid w:val="0026762C"/>
    <w:rsid w:val="0027043F"/>
    <w:rsid w:val="00270F67"/>
    <w:rsid w:val="00281040"/>
    <w:rsid w:val="00293172"/>
    <w:rsid w:val="002A3F9C"/>
    <w:rsid w:val="002A6895"/>
    <w:rsid w:val="002B0745"/>
    <w:rsid w:val="002B17AE"/>
    <w:rsid w:val="002B3286"/>
    <w:rsid w:val="002B53A9"/>
    <w:rsid w:val="002E2084"/>
    <w:rsid w:val="002E377B"/>
    <w:rsid w:val="002F0AF7"/>
    <w:rsid w:val="002F7705"/>
    <w:rsid w:val="0030691D"/>
    <w:rsid w:val="00310DA6"/>
    <w:rsid w:val="00313EA2"/>
    <w:rsid w:val="00325688"/>
    <w:rsid w:val="003315E5"/>
    <w:rsid w:val="003435BB"/>
    <w:rsid w:val="00345807"/>
    <w:rsid w:val="0034674D"/>
    <w:rsid w:val="00351731"/>
    <w:rsid w:val="00366719"/>
    <w:rsid w:val="0036725C"/>
    <w:rsid w:val="0037130E"/>
    <w:rsid w:val="00374122"/>
    <w:rsid w:val="003757C9"/>
    <w:rsid w:val="00380382"/>
    <w:rsid w:val="00380CEA"/>
    <w:rsid w:val="00384D9A"/>
    <w:rsid w:val="00397FFB"/>
    <w:rsid w:val="003A1605"/>
    <w:rsid w:val="003A57CF"/>
    <w:rsid w:val="003A79A1"/>
    <w:rsid w:val="003B0DCC"/>
    <w:rsid w:val="003C2817"/>
    <w:rsid w:val="003D3B3C"/>
    <w:rsid w:val="003D6393"/>
    <w:rsid w:val="003E1EBE"/>
    <w:rsid w:val="003E26AC"/>
    <w:rsid w:val="003E48C3"/>
    <w:rsid w:val="003F00BC"/>
    <w:rsid w:val="003F0C33"/>
    <w:rsid w:val="003F357B"/>
    <w:rsid w:val="003F5A23"/>
    <w:rsid w:val="003F771E"/>
    <w:rsid w:val="004046D1"/>
    <w:rsid w:val="00432399"/>
    <w:rsid w:val="00441BA3"/>
    <w:rsid w:val="0046581D"/>
    <w:rsid w:val="00473A01"/>
    <w:rsid w:val="004758D9"/>
    <w:rsid w:val="00475D16"/>
    <w:rsid w:val="0047706D"/>
    <w:rsid w:val="0048526B"/>
    <w:rsid w:val="00486642"/>
    <w:rsid w:val="00487406"/>
    <w:rsid w:val="00497781"/>
    <w:rsid w:val="004A4DFD"/>
    <w:rsid w:val="004A55AB"/>
    <w:rsid w:val="004B0940"/>
    <w:rsid w:val="004B105C"/>
    <w:rsid w:val="004B348E"/>
    <w:rsid w:val="004E2CB7"/>
    <w:rsid w:val="004E3F44"/>
    <w:rsid w:val="004F2647"/>
    <w:rsid w:val="005049E3"/>
    <w:rsid w:val="00505B63"/>
    <w:rsid w:val="00506571"/>
    <w:rsid w:val="005079E8"/>
    <w:rsid w:val="00512D5E"/>
    <w:rsid w:val="005148ED"/>
    <w:rsid w:val="00521C88"/>
    <w:rsid w:val="00526134"/>
    <w:rsid w:val="0053772D"/>
    <w:rsid w:val="00537B88"/>
    <w:rsid w:val="00537C9A"/>
    <w:rsid w:val="00542725"/>
    <w:rsid w:val="005442D8"/>
    <w:rsid w:val="00544C99"/>
    <w:rsid w:val="0056361E"/>
    <w:rsid w:val="00564C12"/>
    <w:rsid w:val="00565F06"/>
    <w:rsid w:val="00566C37"/>
    <w:rsid w:val="005731AB"/>
    <w:rsid w:val="00592425"/>
    <w:rsid w:val="0059779B"/>
    <w:rsid w:val="005A7295"/>
    <w:rsid w:val="005A793E"/>
    <w:rsid w:val="005B20D1"/>
    <w:rsid w:val="005B3603"/>
    <w:rsid w:val="005B58FA"/>
    <w:rsid w:val="005C077E"/>
    <w:rsid w:val="005C103D"/>
    <w:rsid w:val="005C437F"/>
    <w:rsid w:val="005C4930"/>
    <w:rsid w:val="005C49F6"/>
    <w:rsid w:val="005D2BC0"/>
    <w:rsid w:val="005E0165"/>
    <w:rsid w:val="005E07B8"/>
    <w:rsid w:val="005E7476"/>
    <w:rsid w:val="005F2E87"/>
    <w:rsid w:val="005F3A0C"/>
    <w:rsid w:val="00601830"/>
    <w:rsid w:val="006060D6"/>
    <w:rsid w:val="00606E0F"/>
    <w:rsid w:val="00607572"/>
    <w:rsid w:val="00617868"/>
    <w:rsid w:val="00624B7C"/>
    <w:rsid w:val="00625F2E"/>
    <w:rsid w:val="00637862"/>
    <w:rsid w:val="00645093"/>
    <w:rsid w:val="006450E1"/>
    <w:rsid w:val="00645165"/>
    <w:rsid w:val="006455A8"/>
    <w:rsid w:val="00650DE3"/>
    <w:rsid w:val="00653A07"/>
    <w:rsid w:val="00660374"/>
    <w:rsid w:val="00670FC1"/>
    <w:rsid w:val="006752D3"/>
    <w:rsid w:val="006775D4"/>
    <w:rsid w:val="0068265F"/>
    <w:rsid w:val="00684DCF"/>
    <w:rsid w:val="006943F5"/>
    <w:rsid w:val="00696D85"/>
    <w:rsid w:val="0069744E"/>
    <w:rsid w:val="006B0CFB"/>
    <w:rsid w:val="006B1A18"/>
    <w:rsid w:val="006C0D69"/>
    <w:rsid w:val="006C10E9"/>
    <w:rsid w:val="006C2698"/>
    <w:rsid w:val="006D2AA1"/>
    <w:rsid w:val="006D453D"/>
    <w:rsid w:val="006D4DD2"/>
    <w:rsid w:val="006E1152"/>
    <w:rsid w:val="006E2747"/>
    <w:rsid w:val="006F1104"/>
    <w:rsid w:val="006F5B6C"/>
    <w:rsid w:val="00704855"/>
    <w:rsid w:val="00713517"/>
    <w:rsid w:val="00714536"/>
    <w:rsid w:val="00720DCC"/>
    <w:rsid w:val="00726320"/>
    <w:rsid w:val="00755B1E"/>
    <w:rsid w:val="0076064D"/>
    <w:rsid w:val="00764DF9"/>
    <w:rsid w:val="00770062"/>
    <w:rsid w:val="007772B9"/>
    <w:rsid w:val="007833DB"/>
    <w:rsid w:val="007835A8"/>
    <w:rsid w:val="00793DFD"/>
    <w:rsid w:val="007973F3"/>
    <w:rsid w:val="00797DD0"/>
    <w:rsid w:val="007A0846"/>
    <w:rsid w:val="007A2A97"/>
    <w:rsid w:val="007A4FEF"/>
    <w:rsid w:val="007B2A5B"/>
    <w:rsid w:val="007C0BBF"/>
    <w:rsid w:val="007C1038"/>
    <w:rsid w:val="007C48F2"/>
    <w:rsid w:val="007C6C07"/>
    <w:rsid w:val="007D448E"/>
    <w:rsid w:val="007D6105"/>
    <w:rsid w:val="007D7C95"/>
    <w:rsid w:val="007E7342"/>
    <w:rsid w:val="007F6434"/>
    <w:rsid w:val="00800D66"/>
    <w:rsid w:val="00801375"/>
    <w:rsid w:val="00811255"/>
    <w:rsid w:val="00822142"/>
    <w:rsid w:val="0083307F"/>
    <w:rsid w:val="00843F54"/>
    <w:rsid w:val="00845BFA"/>
    <w:rsid w:val="00847033"/>
    <w:rsid w:val="008478BF"/>
    <w:rsid w:val="00851CA7"/>
    <w:rsid w:val="00857273"/>
    <w:rsid w:val="0085779D"/>
    <w:rsid w:val="008631EA"/>
    <w:rsid w:val="008657F0"/>
    <w:rsid w:val="00865FAF"/>
    <w:rsid w:val="00870CFB"/>
    <w:rsid w:val="00872516"/>
    <w:rsid w:val="008774C9"/>
    <w:rsid w:val="00877896"/>
    <w:rsid w:val="00890D31"/>
    <w:rsid w:val="00895C0E"/>
    <w:rsid w:val="00896F38"/>
    <w:rsid w:val="008B53AA"/>
    <w:rsid w:val="008B6DB5"/>
    <w:rsid w:val="008B71BB"/>
    <w:rsid w:val="008B75FC"/>
    <w:rsid w:val="008B7701"/>
    <w:rsid w:val="008C06AF"/>
    <w:rsid w:val="008C0B4D"/>
    <w:rsid w:val="008C0EB2"/>
    <w:rsid w:val="008C5324"/>
    <w:rsid w:val="008C661D"/>
    <w:rsid w:val="008C774A"/>
    <w:rsid w:val="008D5689"/>
    <w:rsid w:val="008E10C4"/>
    <w:rsid w:val="008E2C4C"/>
    <w:rsid w:val="008F5AEC"/>
    <w:rsid w:val="00921B2B"/>
    <w:rsid w:val="00924700"/>
    <w:rsid w:val="00931E35"/>
    <w:rsid w:val="009320F9"/>
    <w:rsid w:val="009344F6"/>
    <w:rsid w:val="009407F8"/>
    <w:rsid w:val="009554ED"/>
    <w:rsid w:val="009557CA"/>
    <w:rsid w:val="009570A2"/>
    <w:rsid w:val="009722BF"/>
    <w:rsid w:val="009758AD"/>
    <w:rsid w:val="0097694E"/>
    <w:rsid w:val="0097781A"/>
    <w:rsid w:val="00983897"/>
    <w:rsid w:val="00987DFD"/>
    <w:rsid w:val="00987F63"/>
    <w:rsid w:val="009935F1"/>
    <w:rsid w:val="00993F1B"/>
    <w:rsid w:val="009A3818"/>
    <w:rsid w:val="009A3F71"/>
    <w:rsid w:val="009B37AC"/>
    <w:rsid w:val="009D18C8"/>
    <w:rsid w:val="009E0E03"/>
    <w:rsid w:val="009E674B"/>
    <w:rsid w:val="009E7C1E"/>
    <w:rsid w:val="009F33B0"/>
    <w:rsid w:val="009F3A22"/>
    <w:rsid w:val="00A00D35"/>
    <w:rsid w:val="00A00D52"/>
    <w:rsid w:val="00A02074"/>
    <w:rsid w:val="00A0226D"/>
    <w:rsid w:val="00A1297F"/>
    <w:rsid w:val="00A15A57"/>
    <w:rsid w:val="00A22152"/>
    <w:rsid w:val="00A242E5"/>
    <w:rsid w:val="00A304BB"/>
    <w:rsid w:val="00A312FC"/>
    <w:rsid w:val="00A374DF"/>
    <w:rsid w:val="00A4613D"/>
    <w:rsid w:val="00A63A5D"/>
    <w:rsid w:val="00A67344"/>
    <w:rsid w:val="00A73696"/>
    <w:rsid w:val="00A77A5F"/>
    <w:rsid w:val="00A80829"/>
    <w:rsid w:val="00A82AB9"/>
    <w:rsid w:val="00AA1915"/>
    <w:rsid w:val="00AA1E5B"/>
    <w:rsid w:val="00AA35AE"/>
    <w:rsid w:val="00AA36C6"/>
    <w:rsid w:val="00AA7231"/>
    <w:rsid w:val="00AB0D05"/>
    <w:rsid w:val="00AB2E19"/>
    <w:rsid w:val="00AB5785"/>
    <w:rsid w:val="00AC260A"/>
    <w:rsid w:val="00AC2A09"/>
    <w:rsid w:val="00AC595C"/>
    <w:rsid w:val="00AC5D1B"/>
    <w:rsid w:val="00AE3991"/>
    <w:rsid w:val="00AF1871"/>
    <w:rsid w:val="00B000C5"/>
    <w:rsid w:val="00B0783D"/>
    <w:rsid w:val="00B10EB5"/>
    <w:rsid w:val="00B13AE6"/>
    <w:rsid w:val="00B355E5"/>
    <w:rsid w:val="00B370D2"/>
    <w:rsid w:val="00B37EAE"/>
    <w:rsid w:val="00B42300"/>
    <w:rsid w:val="00B425AD"/>
    <w:rsid w:val="00B4677D"/>
    <w:rsid w:val="00B51023"/>
    <w:rsid w:val="00B53706"/>
    <w:rsid w:val="00B57C2C"/>
    <w:rsid w:val="00B60857"/>
    <w:rsid w:val="00B703E9"/>
    <w:rsid w:val="00B825BE"/>
    <w:rsid w:val="00B93455"/>
    <w:rsid w:val="00B939B7"/>
    <w:rsid w:val="00B9532A"/>
    <w:rsid w:val="00B97160"/>
    <w:rsid w:val="00BA2C82"/>
    <w:rsid w:val="00BA407B"/>
    <w:rsid w:val="00BB0B10"/>
    <w:rsid w:val="00BC1F39"/>
    <w:rsid w:val="00BC2E7D"/>
    <w:rsid w:val="00BD09D5"/>
    <w:rsid w:val="00BD15E3"/>
    <w:rsid w:val="00BD3ECC"/>
    <w:rsid w:val="00BE1ACE"/>
    <w:rsid w:val="00BE425B"/>
    <w:rsid w:val="00C04DCC"/>
    <w:rsid w:val="00C068CA"/>
    <w:rsid w:val="00C13237"/>
    <w:rsid w:val="00C13FEC"/>
    <w:rsid w:val="00C2235F"/>
    <w:rsid w:val="00C25CBD"/>
    <w:rsid w:val="00C323A9"/>
    <w:rsid w:val="00C43D94"/>
    <w:rsid w:val="00C43F7F"/>
    <w:rsid w:val="00C47AD8"/>
    <w:rsid w:val="00C53B03"/>
    <w:rsid w:val="00C600BB"/>
    <w:rsid w:val="00C617A2"/>
    <w:rsid w:val="00C61934"/>
    <w:rsid w:val="00C6690B"/>
    <w:rsid w:val="00C75928"/>
    <w:rsid w:val="00C82E35"/>
    <w:rsid w:val="00CB4779"/>
    <w:rsid w:val="00CB7255"/>
    <w:rsid w:val="00CC48C9"/>
    <w:rsid w:val="00CD201E"/>
    <w:rsid w:val="00CD2145"/>
    <w:rsid w:val="00CD3712"/>
    <w:rsid w:val="00CD69CA"/>
    <w:rsid w:val="00CD6F9E"/>
    <w:rsid w:val="00CE097F"/>
    <w:rsid w:val="00CE58B7"/>
    <w:rsid w:val="00CF0A8F"/>
    <w:rsid w:val="00D028A3"/>
    <w:rsid w:val="00D11A67"/>
    <w:rsid w:val="00D17BE3"/>
    <w:rsid w:val="00D217D5"/>
    <w:rsid w:val="00D22336"/>
    <w:rsid w:val="00D32DA1"/>
    <w:rsid w:val="00D32E24"/>
    <w:rsid w:val="00D3395A"/>
    <w:rsid w:val="00D34CCD"/>
    <w:rsid w:val="00D44769"/>
    <w:rsid w:val="00D4671F"/>
    <w:rsid w:val="00D51962"/>
    <w:rsid w:val="00D64952"/>
    <w:rsid w:val="00D6588F"/>
    <w:rsid w:val="00D66243"/>
    <w:rsid w:val="00D709D8"/>
    <w:rsid w:val="00D71AA2"/>
    <w:rsid w:val="00D81044"/>
    <w:rsid w:val="00D81CF9"/>
    <w:rsid w:val="00D835C5"/>
    <w:rsid w:val="00D85646"/>
    <w:rsid w:val="00D85912"/>
    <w:rsid w:val="00D8703F"/>
    <w:rsid w:val="00D9050E"/>
    <w:rsid w:val="00D90B3C"/>
    <w:rsid w:val="00D94790"/>
    <w:rsid w:val="00D97281"/>
    <w:rsid w:val="00DB6848"/>
    <w:rsid w:val="00DB6E69"/>
    <w:rsid w:val="00DC2504"/>
    <w:rsid w:val="00DC4DEA"/>
    <w:rsid w:val="00DC561E"/>
    <w:rsid w:val="00DC6EC7"/>
    <w:rsid w:val="00DD087C"/>
    <w:rsid w:val="00DD31C3"/>
    <w:rsid w:val="00DD555A"/>
    <w:rsid w:val="00DE11CE"/>
    <w:rsid w:val="00DE3B16"/>
    <w:rsid w:val="00DF4EB2"/>
    <w:rsid w:val="00E00C43"/>
    <w:rsid w:val="00E00C81"/>
    <w:rsid w:val="00E036F3"/>
    <w:rsid w:val="00E04CE7"/>
    <w:rsid w:val="00E0607C"/>
    <w:rsid w:val="00E1096D"/>
    <w:rsid w:val="00E112ED"/>
    <w:rsid w:val="00E14F11"/>
    <w:rsid w:val="00E163FA"/>
    <w:rsid w:val="00E17A5A"/>
    <w:rsid w:val="00E23BDE"/>
    <w:rsid w:val="00E26FD0"/>
    <w:rsid w:val="00E2709B"/>
    <w:rsid w:val="00E35172"/>
    <w:rsid w:val="00E364FB"/>
    <w:rsid w:val="00E37834"/>
    <w:rsid w:val="00E4575F"/>
    <w:rsid w:val="00E47EE4"/>
    <w:rsid w:val="00E500F8"/>
    <w:rsid w:val="00E50405"/>
    <w:rsid w:val="00E50CBA"/>
    <w:rsid w:val="00E57484"/>
    <w:rsid w:val="00E66499"/>
    <w:rsid w:val="00E72300"/>
    <w:rsid w:val="00E72634"/>
    <w:rsid w:val="00E7630E"/>
    <w:rsid w:val="00E82EF7"/>
    <w:rsid w:val="00E9189C"/>
    <w:rsid w:val="00E92D6A"/>
    <w:rsid w:val="00EA28B5"/>
    <w:rsid w:val="00EA368D"/>
    <w:rsid w:val="00EA41D8"/>
    <w:rsid w:val="00EB396C"/>
    <w:rsid w:val="00EC628C"/>
    <w:rsid w:val="00ED6252"/>
    <w:rsid w:val="00EE48C3"/>
    <w:rsid w:val="00EF15FB"/>
    <w:rsid w:val="00EF33F2"/>
    <w:rsid w:val="00EF342B"/>
    <w:rsid w:val="00F03ADD"/>
    <w:rsid w:val="00F0436F"/>
    <w:rsid w:val="00F05722"/>
    <w:rsid w:val="00F05F77"/>
    <w:rsid w:val="00F07961"/>
    <w:rsid w:val="00F161BF"/>
    <w:rsid w:val="00F172CF"/>
    <w:rsid w:val="00F264CF"/>
    <w:rsid w:val="00F31EAC"/>
    <w:rsid w:val="00F3383B"/>
    <w:rsid w:val="00F358CB"/>
    <w:rsid w:val="00F44FD9"/>
    <w:rsid w:val="00F5479E"/>
    <w:rsid w:val="00F71D33"/>
    <w:rsid w:val="00F76644"/>
    <w:rsid w:val="00F767D9"/>
    <w:rsid w:val="00F77D9A"/>
    <w:rsid w:val="00F80E92"/>
    <w:rsid w:val="00F815B1"/>
    <w:rsid w:val="00F97DDC"/>
    <w:rsid w:val="00FA2ABD"/>
    <w:rsid w:val="00FA476D"/>
    <w:rsid w:val="00FB1222"/>
    <w:rsid w:val="00FB3910"/>
    <w:rsid w:val="00FB3EBE"/>
    <w:rsid w:val="00FB7125"/>
    <w:rsid w:val="00FC5BA1"/>
    <w:rsid w:val="00FD1010"/>
    <w:rsid w:val="00FD2A5F"/>
    <w:rsid w:val="00FD68CE"/>
    <w:rsid w:val="00FE32A0"/>
    <w:rsid w:val="00FF03CC"/>
    <w:rsid w:val="00FF4514"/>
    <w:rsid w:val="02AF3FF2"/>
    <w:rsid w:val="038A1BB2"/>
    <w:rsid w:val="03FD4132"/>
    <w:rsid w:val="04762137"/>
    <w:rsid w:val="05085D61"/>
    <w:rsid w:val="05C56ED2"/>
    <w:rsid w:val="06456265"/>
    <w:rsid w:val="06976AC0"/>
    <w:rsid w:val="06A21E50"/>
    <w:rsid w:val="07CF231E"/>
    <w:rsid w:val="081B727D"/>
    <w:rsid w:val="08882EEB"/>
    <w:rsid w:val="08B859BD"/>
    <w:rsid w:val="0A6F1B02"/>
    <w:rsid w:val="0D913B3D"/>
    <w:rsid w:val="0E2B71E4"/>
    <w:rsid w:val="0E92272A"/>
    <w:rsid w:val="0FC363AB"/>
    <w:rsid w:val="146414D7"/>
    <w:rsid w:val="14E07884"/>
    <w:rsid w:val="161377E5"/>
    <w:rsid w:val="169A2C98"/>
    <w:rsid w:val="16ED3171"/>
    <w:rsid w:val="17051824"/>
    <w:rsid w:val="178C5AA1"/>
    <w:rsid w:val="17E02057"/>
    <w:rsid w:val="17F176E3"/>
    <w:rsid w:val="18C16877"/>
    <w:rsid w:val="19EF0D38"/>
    <w:rsid w:val="1B0A5FB8"/>
    <w:rsid w:val="20151D4A"/>
    <w:rsid w:val="2020322B"/>
    <w:rsid w:val="203E2F60"/>
    <w:rsid w:val="20466628"/>
    <w:rsid w:val="20A0611A"/>
    <w:rsid w:val="227E2FCF"/>
    <w:rsid w:val="23BD39A1"/>
    <w:rsid w:val="24936AC3"/>
    <w:rsid w:val="24D34D10"/>
    <w:rsid w:val="24E567F1"/>
    <w:rsid w:val="27CF1DF3"/>
    <w:rsid w:val="2B966A97"/>
    <w:rsid w:val="2C097A91"/>
    <w:rsid w:val="2C356ED1"/>
    <w:rsid w:val="2E4215F5"/>
    <w:rsid w:val="2F9E1CAE"/>
    <w:rsid w:val="31085D41"/>
    <w:rsid w:val="315D139B"/>
    <w:rsid w:val="31B62187"/>
    <w:rsid w:val="34A9783B"/>
    <w:rsid w:val="34B25C42"/>
    <w:rsid w:val="34C65A35"/>
    <w:rsid w:val="350765B1"/>
    <w:rsid w:val="35831E3A"/>
    <w:rsid w:val="36385E4D"/>
    <w:rsid w:val="375717D0"/>
    <w:rsid w:val="378400EB"/>
    <w:rsid w:val="38D44413"/>
    <w:rsid w:val="39026534"/>
    <w:rsid w:val="3A156B79"/>
    <w:rsid w:val="3A38699B"/>
    <w:rsid w:val="3AA54601"/>
    <w:rsid w:val="3B117EE8"/>
    <w:rsid w:val="3B27770B"/>
    <w:rsid w:val="3B781D15"/>
    <w:rsid w:val="3C1732DC"/>
    <w:rsid w:val="3D325957"/>
    <w:rsid w:val="3E1C55DA"/>
    <w:rsid w:val="3EE23147"/>
    <w:rsid w:val="407E4C3D"/>
    <w:rsid w:val="40E673D4"/>
    <w:rsid w:val="426C1EA8"/>
    <w:rsid w:val="436675D6"/>
    <w:rsid w:val="437454B8"/>
    <w:rsid w:val="43866F99"/>
    <w:rsid w:val="443308AA"/>
    <w:rsid w:val="443D1D4E"/>
    <w:rsid w:val="448D3187"/>
    <w:rsid w:val="44E65F41"/>
    <w:rsid w:val="45BB0167"/>
    <w:rsid w:val="46715CDF"/>
    <w:rsid w:val="467457B6"/>
    <w:rsid w:val="46F25071"/>
    <w:rsid w:val="485423A9"/>
    <w:rsid w:val="4AA16F8F"/>
    <w:rsid w:val="4AF313B8"/>
    <w:rsid w:val="4BAD77B9"/>
    <w:rsid w:val="4D0E7FB0"/>
    <w:rsid w:val="4D4269A4"/>
    <w:rsid w:val="4D4B7289"/>
    <w:rsid w:val="4D844C78"/>
    <w:rsid w:val="4EFE780A"/>
    <w:rsid w:val="511B37A3"/>
    <w:rsid w:val="520D0FB1"/>
    <w:rsid w:val="53D8262B"/>
    <w:rsid w:val="54477734"/>
    <w:rsid w:val="55853555"/>
    <w:rsid w:val="55FA7A9F"/>
    <w:rsid w:val="56243ED8"/>
    <w:rsid w:val="564547CE"/>
    <w:rsid w:val="56682C5A"/>
    <w:rsid w:val="572D5C52"/>
    <w:rsid w:val="59140E77"/>
    <w:rsid w:val="5A0A227A"/>
    <w:rsid w:val="5A8042EB"/>
    <w:rsid w:val="5AEB5C08"/>
    <w:rsid w:val="5BEB337C"/>
    <w:rsid w:val="5D572A52"/>
    <w:rsid w:val="5D6B42F0"/>
    <w:rsid w:val="5DB87D06"/>
    <w:rsid w:val="5E6A10DA"/>
    <w:rsid w:val="5F6E5059"/>
    <w:rsid w:val="6017749F"/>
    <w:rsid w:val="61121C1F"/>
    <w:rsid w:val="613266B2"/>
    <w:rsid w:val="61953AFB"/>
    <w:rsid w:val="61F41846"/>
    <w:rsid w:val="62593D9F"/>
    <w:rsid w:val="62F05BA0"/>
    <w:rsid w:val="6356208C"/>
    <w:rsid w:val="640C2265"/>
    <w:rsid w:val="642F3009"/>
    <w:rsid w:val="64506F3E"/>
    <w:rsid w:val="65447824"/>
    <w:rsid w:val="66132D8E"/>
    <w:rsid w:val="661341AB"/>
    <w:rsid w:val="6695521F"/>
    <w:rsid w:val="66D47E98"/>
    <w:rsid w:val="67EB36EB"/>
    <w:rsid w:val="694330B3"/>
    <w:rsid w:val="69643755"/>
    <w:rsid w:val="6A8267D7"/>
    <w:rsid w:val="6B4B4E38"/>
    <w:rsid w:val="6B723120"/>
    <w:rsid w:val="6C152AE5"/>
    <w:rsid w:val="6C242547"/>
    <w:rsid w:val="6C516662"/>
    <w:rsid w:val="6C536BE6"/>
    <w:rsid w:val="6CAB3449"/>
    <w:rsid w:val="6D134E32"/>
    <w:rsid w:val="6F9E1144"/>
    <w:rsid w:val="7137174F"/>
    <w:rsid w:val="71736201"/>
    <w:rsid w:val="735859AD"/>
    <w:rsid w:val="73DC038C"/>
    <w:rsid w:val="74373814"/>
    <w:rsid w:val="75633DBC"/>
    <w:rsid w:val="75DA08FB"/>
    <w:rsid w:val="77313D4E"/>
    <w:rsid w:val="785030F6"/>
    <w:rsid w:val="7880401D"/>
    <w:rsid w:val="78F71118"/>
    <w:rsid w:val="79B24069"/>
    <w:rsid w:val="79FA77BE"/>
    <w:rsid w:val="7A24483B"/>
    <w:rsid w:val="7E372D8F"/>
    <w:rsid w:val="7E57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4"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autoRedefine/>
    <w:qFormat/>
    <w:uiPriority w:val="0"/>
    <w:pPr>
      <w:pageBreakBefore/>
      <w:spacing w:after="120" w:line="276" w:lineRule="auto"/>
      <w:jc w:val="center"/>
      <w:outlineLvl w:val="0"/>
    </w:pPr>
    <w:rPr>
      <w:rFonts w:ascii="宋体" w:hAnsi="宋体" w:eastAsia="宋体" w:cs="Times New Roman"/>
      <w:b/>
      <w:color w:val="000000"/>
      <w:kern w:val="44"/>
      <w:sz w:val="32"/>
      <w:szCs w:val="32"/>
    </w:rPr>
  </w:style>
  <w:style w:type="paragraph" w:styleId="3">
    <w:name w:val="heading 2"/>
    <w:basedOn w:val="1"/>
    <w:next w:val="1"/>
    <w:link w:val="37"/>
    <w:autoRedefine/>
    <w:qFormat/>
    <w:uiPriority w:val="9"/>
    <w:pPr>
      <w:spacing w:before="120" w:after="120" w:line="276" w:lineRule="auto"/>
      <w:jc w:val="left"/>
      <w:outlineLvl w:val="1"/>
    </w:pPr>
    <w:rPr>
      <w:rFonts w:ascii="宋体" w:hAnsi="宋体" w:eastAsia="宋体" w:cs="Times New Roman"/>
      <w:b/>
      <w:color w:val="000000"/>
      <w:sz w:val="30"/>
      <w:szCs w:val="30"/>
    </w:rPr>
  </w:style>
  <w:style w:type="paragraph" w:styleId="4">
    <w:name w:val="heading 3"/>
    <w:basedOn w:val="1"/>
    <w:next w:val="1"/>
    <w:link w:val="38"/>
    <w:autoRedefine/>
    <w:qFormat/>
    <w:uiPriority w:val="0"/>
    <w:pPr>
      <w:keepNext/>
      <w:keepLines/>
      <w:spacing w:before="260" w:after="260" w:line="412" w:lineRule="auto"/>
      <w:ind w:firstLine="49" w:firstLineChars="49"/>
      <w:outlineLvl w:val="2"/>
    </w:pPr>
    <w:rPr>
      <w:rFonts w:ascii="黑体" w:hAnsi="Calibri" w:eastAsia="黑体" w:cs="Times New Roman"/>
      <w:sz w:val="28"/>
      <w:szCs w:val="20"/>
    </w:rPr>
  </w:style>
  <w:style w:type="paragraph" w:styleId="5">
    <w:name w:val="heading 6"/>
    <w:basedOn w:val="1"/>
    <w:next w:val="1"/>
    <w:link w:val="41"/>
    <w:autoRedefine/>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Calibri" w:hAnsi="Calibri" w:eastAsia="宋体" w:cs="Times New Roman"/>
    </w:rPr>
  </w:style>
  <w:style w:type="paragraph" w:styleId="7">
    <w:name w:val="annotation text"/>
    <w:basedOn w:val="1"/>
    <w:link w:val="43"/>
    <w:autoRedefine/>
    <w:qFormat/>
    <w:uiPriority w:val="0"/>
    <w:pPr>
      <w:jc w:val="left"/>
    </w:pPr>
    <w:rPr>
      <w:rFonts w:ascii="Calibri" w:hAnsi="Calibri" w:eastAsia="宋体" w:cs="Times New Roman"/>
    </w:rPr>
  </w:style>
  <w:style w:type="paragraph" w:styleId="8">
    <w:name w:val="Body Text 3"/>
    <w:basedOn w:val="1"/>
    <w:link w:val="44"/>
    <w:autoRedefine/>
    <w:qFormat/>
    <w:uiPriority w:val="0"/>
    <w:rPr>
      <w:rFonts w:ascii="宋体" w:hAnsi="Calibri" w:eastAsia="宋体" w:cs="Times New Roman"/>
      <w:sz w:val="24"/>
      <w:szCs w:val="20"/>
    </w:rPr>
  </w:style>
  <w:style w:type="paragraph" w:styleId="9">
    <w:name w:val="Body Text"/>
    <w:basedOn w:val="1"/>
    <w:link w:val="46"/>
    <w:autoRedefine/>
    <w:unhideWhenUsed/>
    <w:qFormat/>
    <w:uiPriority w:val="99"/>
    <w:pPr>
      <w:spacing w:after="120"/>
    </w:pPr>
    <w:rPr>
      <w:rFonts w:ascii="Calibri" w:hAnsi="Calibri" w:eastAsia="宋体" w:cs="Times New Roman"/>
      <w:szCs w:val="20"/>
    </w:rPr>
  </w:style>
  <w:style w:type="paragraph" w:styleId="10">
    <w:name w:val="Body Text Indent"/>
    <w:basedOn w:val="1"/>
    <w:link w:val="48"/>
    <w:autoRedefine/>
    <w:qFormat/>
    <w:uiPriority w:val="0"/>
    <w:pPr>
      <w:spacing w:after="120"/>
      <w:ind w:left="420" w:leftChars="200"/>
    </w:pPr>
    <w:rPr>
      <w:rFonts w:ascii="Calibri" w:hAnsi="Calibri" w:eastAsia="宋体" w:cs="Times New Roman"/>
    </w:rPr>
  </w:style>
  <w:style w:type="paragraph" w:styleId="11">
    <w:name w:val="Block Text"/>
    <w:basedOn w:val="1"/>
    <w:autoRedefine/>
    <w:unhideWhenUsed/>
    <w:qFormat/>
    <w:uiPriority w:val="0"/>
    <w:pPr>
      <w:spacing w:line="440" w:lineRule="exact"/>
      <w:ind w:left="-540" w:leftChars="-257" w:right="-334" w:rightChars="-159" w:firstLine="1140"/>
    </w:pPr>
    <w:rPr>
      <w:rFonts w:ascii="Times New Roman" w:hAnsi="Times New Roman" w:eastAsia="宋体" w:cs="Times New Roman"/>
      <w:sz w:val="24"/>
      <w:szCs w:val="20"/>
    </w:rPr>
  </w:style>
  <w:style w:type="paragraph" w:styleId="12">
    <w:name w:val="toc 5"/>
    <w:basedOn w:val="1"/>
    <w:next w:val="1"/>
    <w:autoRedefine/>
    <w:unhideWhenUsed/>
    <w:qFormat/>
    <w:uiPriority w:val="39"/>
    <w:pPr>
      <w:ind w:left="1680" w:leftChars="800"/>
    </w:pPr>
    <w:rPr>
      <w:rFonts w:ascii="Calibri" w:hAnsi="Calibri" w:eastAsia="宋体" w:cs="Times New Roman"/>
    </w:rPr>
  </w:style>
  <w:style w:type="paragraph" w:styleId="13">
    <w:name w:val="toc 3"/>
    <w:basedOn w:val="1"/>
    <w:next w:val="1"/>
    <w:autoRedefine/>
    <w:qFormat/>
    <w:uiPriority w:val="39"/>
    <w:pPr>
      <w:ind w:left="400" w:leftChars="400"/>
    </w:pPr>
    <w:rPr>
      <w:rFonts w:ascii="Calibri" w:hAnsi="Calibri" w:eastAsia="宋体" w:cs="Times New Roman"/>
    </w:rPr>
  </w:style>
  <w:style w:type="paragraph" w:styleId="14">
    <w:name w:val="Plain Text"/>
    <w:basedOn w:val="1"/>
    <w:link w:val="49"/>
    <w:autoRedefine/>
    <w:qFormat/>
    <w:uiPriority w:val="0"/>
    <w:rPr>
      <w:rFonts w:ascii="宋体" w:hAnsi="Calibri" w:eastAsia="宋体" w:cs="Times New Roman"/>
    </w:rPr>
  </w:style>
  <w:style w:type="paragraph" w:styleId="15">
    <w:name w:val="toc 8"/>
    <w:basedOn w:val="1"/>
    <w:next w:val="1"/>
    <w:autoRedefine/>
    <w:unhideWhenUsed/>
    <w:qFormat/>
    <w:uiPriority w:val="39"/>
    <w:pPr>
      <w:ind w:left="2940" w:leftChars="1400"/>
    </w:pPr>
    <w:rPr>
      <w:rFonts w:ascii="Calibri" w:hAnsi="Calibri" w:eastAsia="宋体" w:cs="Times New Roman"/>
    </w:rPr>
  </w:style>
  <w:style w:type="paragraph" w:styleId="16">
    <w:name w:val="Date"/>
    <w:basedOn w:val="1"/>
    <w:next w:val="1"/>
    <w:link w:val="51"/>
    <w:autoRedefine/>
    <w:qFormat/>
    <w:uiPriority w:val="0"/>
    <w:pPr>
      <w:ind w:left="100" w:leftChars="2500"/>
    </w:pPr>
    <w:rPr>
      <w:rFonts w:ascii="Calibri" w:hAnsi="Calibri" w:eastAsia="宋体" w:cs="Times New Roman"/>
    </w:rPr>
  </w:style>
  <w:style w:type="paragraph" w:styleId="17">
    <w:name w:val="Balloon Text"/>
    <w:basedOn w:val="1"/>
    <w:link w:val="53"/>
    <w:autoRedefine/>
    <w:qFormat/>
    <w:uiPriority w:val="0"/>
    <w:rPr>
      <w:rFonts w:ascii="Calibri" w:hAnsi="Calibri" w:eastAsia="宋体" w:cs="Times New Roman"/>
      <w:sz w:val="18"/>
      <w:szCs w:val="18"/>
    </w:rPr>
  </w:style>
  <w:style w:type="paragraph" w:styleId="18">
    <w:name w:val="footer"/>
    <w:basedOn w:val="1"/>
    <w:link w:val="35"/>
    <w:autoRedefine/>
    <w:unhideWhenUsed/>
    <w:qFormat/>
    <w:uiPriority w:val="0"/>
    <w:pPr>
      <w:tabs>
        <w:tab w:val="center" w:pos="4153"/>
        <w:tab w:val="right" w:pos="8306"/>
      </w:tabs>
      <w:snapToGrid w:val="0"/>
      <w:jc w:val="left"/>
    </w:pPr>
    <w:rPr>
      <w:sz w:val="18"/>
      <w:szCs w:val="18"/>
    </w:rPr>
  </w:style>
  <w:style w:type="paragraph" w:styleId="19">
    <w:name w:val="header"/>
    <w:basedOn w:val="1"/>
    <w:link w:val="3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rPr>
      <w:rFonts w:ascii="Calibri" w:hAnsi="Calibri" w:eastAsia="宋体" w:cs="Times New Roman"/>
    </w:rPr>
  </w:style>
  <w:style w:type="paragraph" w:styleId="21">
    <w:name w:val="toc 4"/>
    <w:basedOn w:val="1"/>
    <w:next w:val="1"/>
    <w:autoRedefine/>
    <w:unhideWhenUsed/>
    <w:qFormat/>
    <w:uiPriority w:val="39"/>
    <w:pPr>
      <w:ind w:left="1260" w:leftChars="600"/>
    </w:pPr>
    <w:rPr>
      <w:rFonts w:ascii="Calibri" w:hAnsi="Calibri" w:eastAsia="宋体" w:cs="Times New Roman"/>
    </w:rPr>
  </w:style>
  <w:style w:type="paragraph" w:styleId="22">
    <w:name w:val="toc 6"/>
    <w:basedOn w:val="1"/>
    <w:next w:val="1"/>
    <w:autoRedefine/>
    <w:unhideWhenUsed/>
    <w:qFormat/>
    <w:uiPriority w:val="39"/>
    <w:pPr>
      <w:ind w:left="2100" w:leftChars="1000"/>
    </w:pPr>
    <w:rPr>
      <w:rFonts w:ascii="Calibri" w:hAnsi="Calibri" w:eastAsia="宋体" w:cs="Times New Roman"/>
    </w:rPr>
  </w:style>
  <w:style w:type="paragraph" w:styleId="23">
    <w:name w:val="toc 2"/>
    <w:basedOn w:val="1"/>
    <w:next w:val="1"/>
    <w:autoRedefine/>
    <w:qFormat/>
    <w:uiPriority w:val="39"/>
    <w:pPr>
      <w:ind w:left="200" w:leftChars="200"/>
    </w:pPr>
    <w:rPr>
      <w:rFonts w:ascii="Calibri" w:hAnsi="Calibri" w:eastAsia="宋体" w:cs="Times New Roman"/>
    </w:rPr>
  </w:style>
  <w:style w:type="paragraph" w:styleId="24">
    <w:name w:val="toc 9"/>
    <w:basedOn w:val="1"/>
    <w:next w:val="1"/>
    <w:autoRedefine/>
    <w:unhideWhenUsed/>
    <w:qFormat/>
    <w:uiPriority w:val="39"/>
    <w:pPr>
      <w:ind w:left="3360" w:leftChars="1600"/>
    </w:pPr>
    <w:rPr>
      <w:rFonts w:ascii="Calibri" w:hAnsi="Calibri" w:eastAsia="宋体" w:cs="Times New Roman"/>
    </w:rPr>
  </w:style>
  <w:style w:type="paragraph" w:styleId="25">
    <w:name w:val="annotation subject"/>
    <w:basedOn w:val="7"/>
    <w:next w:val="7"/>
    <w:link w:val="57"/>
    <w:autoRedefine/>
    <w:qFormat/>
    <w:uiPriority w:val="0"/>
    <w:rPr>
      <w:b/>
      <w:bCs/>
    </w:rPr>
  </w:style>
  <w:style w:type="paragraph" w:styleId="26">
    <w:name w:val="Body Text First Indent"/>
    <w:basedOn w:val="9"/>
    <w:link w:val="59"/>
    <w:autoRedefine/>
    <w:qFormat/>
    <w:uiPriority w:val="0"/>
    <w:pPr>
      <w:spacing w:line="312" w:lineRule="auto"/>
      <w:ind w:firstLine="420"/>
    </w:pPr>
    <w:rPr>
      <w:szCs w:val="24"/>
    </w:rPr>
  </w:style>
  <w:style w:type="paragraph" w:styleId="27">
    <w:name w:val="Body Text First Indent 2"/>
    <w:basedOn w:val="10"/>
    <w:link w:val="61"/>
    <w:autoRedefine/>
    <w:qFormat/>
    <w:uiPriority w:val="0"/>
    <w:pPr>
      <w:ind w:firstLine="420" w:firstLineChars="200"/>
    </w:pPr>
  </w:style>
  <w:style w:type="character" w:styleId="30">
    <w:name w:val="page number"/>
    <w:autoRedefine/>
    <w:qFormat/>
    <w:uiPriority w:val="0"/>
  </w:style>
  <w:style w:type="character" w:styleId="31">
    <w:name w:val="FollowedHyperlink"/>
    <w:autoRedefine/>
    <w:unhideWhenUsed/>
    <w:qFormat/>
    <w:uiPriority w:val="99"/>
    <w:rPr>
      <w:color w:val="954F72"/>
      <w:u w:val="single"/>
    </w:rPr>
  </w:style>
  <w:style w:type="character" w:styleId="32">
    <w:name w:val="Hyperlink"/>
    <w:autoRedefine/>
    <w:qFormat/>
    <w:uiPriority w:val="99"/>
    <w:rPr>
      <w:color w:val="0000FF"/>
      <w:u w:val="single"/>
    </w:rPr>
  </w:style>
  <w:style w:type="character" w:styleId="33">
    <w:name w:val="annotation reference"/>
    <w:autoRedefine/>
    <w:qFormat/>
    <w:uiPriority w:val="0"/>
    <w:rPr>
      <w:sz w:val="21"/>
      <w:szCs w:val="21"/>
    </w:rPr>
  </w:style>
  <w:style w:type="character" w:customStyle="1" w:styleId="34">
    <w:name w:val="页眉 Char1"/>
    <w:basedOn w:val="29"/>
    <w:link w:val="19"/>
    <w:autoRedefine/>
    <w:qFormat/>
    <w:uiPriority w:val="99"/>
    <w:rPr>
      <w:sz w:val="18"/>
      <w:szCs w:val="18"/>
    </w:rPr>
  </w:style>
  <w:style w:type="character" w:customStyle="1" w:styleId="35">
    <w:name w:val="页脚 Char1"/>
    <w:basedOn w:val="29"/>
    <w:link w:val="18"/>
    <w:autoRedefine/>
    <w:qFormat/>
    <w:uiPriority w:val="99"/>
    <w:rPr>
      <w:sz w:val="18"/>
      <w:szCs w:val="18"/>
    </w:rPr>
  </w:style>
  <w:style w:type="character" w:customStyle="1" w:styleId="36">
    <w:name w:val="标题 1 Char1"/>
    <w:basedOn w:val="29"/>
    <w:link w:val="2"/>
    <w:autoRedefine/>
    <w:qFormat/>
    <w:uiPriority w:val="0"/>
    <w:rPr>
      <w:rFonts w:ascii="宋体" w:hAnsi="宋体" w:eastAsia="宋体" w:cs="Times New Roman"/>
      <w:b/>
      <w:color w:val="000000"/>
      <w:kern w:val="44"/>
      <w:sz w:val="32"/>
      <w:szCs w:val="32"/>
    </w:rPr>
  </w:style>
  <w:style w:type="character" w:customStyle="1" w:styleId="37">
    <w:name w:val="标题 2 Char"/>
    <w:basedOn w:val="29"/>
    <w:link w:val="3"/>
    <w:autoRedefine/>
    <w:qFormat/>
    <w:uiPriority w:val="9"/>
    <w:rPr>
      <w:rFonts w:ascii="宋体" w:hAnsi="宋体" w:eastAsia="宋体" w:cs="Times New Roman"/>
      <w:b/>
      <w:color w:val="000000"/>
      <w:sz w:val="30"/>
      <w:szCs w:val="30"/>
    </w:rPr>
  </w:style>
  <w:style w:type="character" w:customStyle="1" w:styleId="38">
    <w:name w:val="标题 3 Char"/>
    <w:basedOn w:val="29"/>
    <w:link w:val="4"/>
    <w:autoRedefine/>
    <w:qFormat/>
    <w:uiPriority w:val="0"/>
    <w:rPr>
      <w:rFonts w:ascii="黑体" w:hAnsi="Calibri" w:eastAsia="黑体" w:cs="Times New Roman"/>
      <w:sz w:val="28"/>
      <w:szCs w:val="20"/>
    </w:rPr>
  </w:style>
  <w:style w:type="character" w:customStyle="1" w:styleId="39">
    <w:name w:val="标题 6 字符"/>
    <w:basedOn w:val="29"/>
    <w:autoRedefine/>
    <w:semiHidden/>
    <w:qFormat/>
    <w:uiPriority w:val="9"/>
    <w:rPr>
      <w:rFonts w:asciiTheme="majorHAnsi" w:hAnsiTheme="majorHAnsi" w:eastAsiaTheme="majorEastAsia" w:cstheme="majorBidi"/>
      <w:b/>
      <w:bCs/>
      <w:sz w:val="24"/>
      <w:szCs w:val="24"/>
    </w:rPr>
  </w:style>
  <w:style w:type="paragraph" w:customStyle="1" w:styleId="40">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1">
    <w:name w:val="标题 6 Char"/>
    <w:link w:val="5"/>
    <w:autoRedefine/>
    <w:qFormat/>
    <w:uiPriority w:val="0"/>
    <w:rPr>
      <w:rFonts w:ascii="Cambria" w:hAnsi="Cambria" w:eastAsia="宋体" w:cs="Times New Roman"/>
      <w:b/>
      <w:bCs/>
      <w:sz w:val="24"/>
      <w:szCs w:val="24"/>
    </w:rPr>
  </w:style>
  <w:style w:type="character" w:customStyle="1" w:styleId="42">
    <w:name w:val="批注文字 字符"/>
    <w:basedOn w:val="29"/>
    <w:autoRedefine/>
    <w:semiHidden/>
    <w:qFormat/>
    <w:uiPriority w:val="99"/>
  </w:style>
  <w:style w:type="character" w:customStyle="1" w:styleId="43">
    <w:name w:val="批注文字 Char"/>
    <w:link w:val="7"/>
    <w:autoRedefine/>
    <w:qFormat/>
    <w:uiPriority w:val="0"/>
    <w:rPr>
      <w:rFonts w:ascii="Calibri" w:hAnsi="Calibri" w:eastAsia="宋体" w:cs="Times New Roman"/>
    </w:rPr>
  </w:style>
  <w:style w:type="character" w:customStyle="1" w:styleId="44">
    <w:name w:val="正文文本 3 Char"/>
    <w:basedOn w:val="29"/>
    <w:link w:val="8"/>
    <w:autoRedefine/>
    <w:qFormat/>
    <w:uiPriority w:val="0"/>
    <w:rPr>
      <w:rFonts w:ascii="宋体" w:hAnsi="Calibri" w:eastAsia="宋体" w:cs="Times New Roman"/>
      <w:sz w:val="24"/>
      <w:szCs w:val="20"/>
    </w:rPr>
  </w:style>
  <w:style w:type="character" w:customStyle="1" w:styleId="45">
    <w:name w:val="正文文本 字符"/>
    <w:basedOn w:val="29"/>
    <w:autoRedefine/>
    <w:semiHidden/>
    <w:qFormat/>
    <w:uiPriority w:val="99"/>
  </w:style>
  <w:style w:type="character" w:customStyle="1" w:styleId="46">
    <w:name w:val="正文文本 Char"/>
    <w:link w:val="9"/>
    <w:autoRedefine/>
    <w:qFormat/>
    <w:uiPriority w:val="99"/>
    <w:rPr>
      <w:rFonts w:ascii="Calibri" w:hAnsi="Calibri" w:eastAsia="宋体" w:cs="Times New Roman"/>
      <w:szCs w:val="20"/>
    </w:rPr>
  </w:style>
  <w:style w:type="character" w:customStyle="1" w:styleId="47">
    <w:name w:val="正文文本缩进 字符"/>
    <w:basedOn w:val="29"/>
    <w:autoRedefine/>
    <w:semiHidden/>
    <w:qFormat/>
    <w:uiPriority w:val="99"/>
  </w:style>
  <w:style w:type="character" w:customStyle="1" w:styleId="48">
    <w:name w:val="正文文本缩进 Char"/>
    <w:link w:val="10"/>
    <w:autoRedefine/>
    <w:qFormat/>
    <w:uiPriority w:val="0"/>
    <w:rPr>
      <w:rFonts w:ascii="Calibri" w:hAnsi="Calibri" w:eastAsia="宋体" w:cs="Times New Roman"/>
    </w:rPr>
  </w:style>
  <w:style w:type="character" w:customStyle="1" w:styleId="49">
    <w:name w:val="纯文本 Char"/>
    <w:basedOn w:val="29"/>
    <w:link w:val="14"/>
    <w:autoRedefine/>
    <w:qFormat/>
    <w:uiPriority w:val="0"/>
    <w:rPr>
      <w:rFonts w:ascii="宋体" w:hAnsi="Calibri" w:eastAsia="宋体" w:cs="Times New Roman"/>
    </w:rPr>
  </w:style>
  <w:style w:type="character" w:customStyle="1" w:styleId="50">
    <w:name w:val="日期 字符"/>
    <w:basedOn w:val="29"/>
    <w:autoRedefine/>
    <w:semiHidden/>
    <w:qFormat/>
    <w:uiPriority w:val="99"/>
  </w:style>
  <w:style w:type="character" w:customStyle="1" w:styleId="51">
    <w:name w:val="日期 Char"/>
    <w:link w:val="16"/>
    <w:autoRedefine/>
    <w:qFormat/>
    <w:uiPriority w:val="0"/>
    <w:rPr>
      <w:rFonts w:ascii="Calibri" w:hAnsi="Calibri" w:eastAsia="宋体" w:cs="Times New Roman"/>
    </w:rPr>
  </w:style>
  <w:style w:type="character" w:customStyle="1" w:styleId="52">
    <w:name w:val="批注框文本 字符"/>
    <w:basedOn w:val="29"/>
    <w:autoRedefine/>
    <w:semiHidden/>
    <w:qFormat/>
    <w:uiPriority w:val="99"/>
    <w:rPr>
      <w:sz w:val="18"/>
      <w:szCs w:val="18"/>
    </w:rPr>
  </w:style>
  <w:style w:type="character" w:customStyle="1" w:styleId="53">
    <w:name w:val="批注框文本 Char"/>
    <w:link w:val="17"/>
    <w:autoRedefine/>
    <w:qFormat/>
    <w:uiPriority w:val="0"/>
    <w:rPr>
      <w:rFonts w:ascii="Calibri" w:hAnsi="Calibri" w:eastAsia="宋体" w:cs="Times New Roman"/>
      <w:sz w:val="18"/>
      <w:szCs w:val="18"/>
    </w:rPr>
  </w:style>
  <w:style w:type="character" w:customStyle="1" w:styleId="54">
    <w:name w:val="页脚 Char"/>
    <w:autoRedefine/>
    <w:qFormat/>
    <w:uiPriority w:val="0"/>
    <w:rPr>
      <w:kern w:val="2"/>
      <w:sz w:val="18"/>
      <w:szCs w:val="22"/>
    </w:rPr>
  </w:style>
  <w:style w:type="character" w:customStyle="1" w:styleId="55">
    <w:name w:val="页眉 Char"/>
    <w:autoRedefine/>
    <w:qFormat/>
    <w:uiPriority w:val="0"/>
    <w:rPr>
      <w:kern w:val="2"/>
      <w:sz w:val="18"/>
      <w:szCs w:val="18"/>
    </w:rPr>
  </w:style>
  <w:style w:type="character" w:customStyle="1" w:styleId="56">
    <w:name w:val="批注主题 字符"/>
    <w:basedOn w:val="42"/>
    <w:autoRedefine/>
    <w:semiHidden/>
    <w:qFormat/>
    <w:uiPriority w:val="99"/>
    <w:rPr>
      <w:b/>
      <w:bCs/>
    </w:rPr>
  </w:style>
  <w:style w:type="character" w:customStyle="1" w:styleId="57">
    <w:name w:val="批注主题 Char"/>
    <w:link w:val="25"/>
    <w:autoRedefine/>
    <w:qFormat/>
    <w:uiPriority w:val="0"/>
    <w:rPr>
      <w:rFonts w:ascii="Calibri" w:hAnsi="Calibri" w:eastAsia="宋体" w:cs="Times New Roman"/>
      <w:b/>
      <w:bCs/>
    </w:rPr>
  </w:style>
  <w:style w:type="character" w:customStyle="1" w:styleId="58">
    <w:name w:val="正文首行缩进 字符"/>
    <w:basedOn w:val="45"/>
    <w:autoRedefine/>
    <w:semiHidden/>
    <w:qFormat/>
    <w:uiPriority w:val="99"/>
  </w:style>
  <w:style w:type="character" w:customStyle="1" w:styleId="59">
    <w:name w:val="正文首行缩进 Char"/>
    <w:link w:val="26"/>
    <w:autoRedefine/>
    <w:qFormat/>
    <w:uiPriority w:val="0"/>
    <w:rPr>
      <w:rFonts w:ascii="Calibri" w:hAnsi="Calibri" w:eastAsia="宋体" w:cs="Times New Roman"/>
      <w:szCs w:val="24"/>
    </w:rPr>
  </w:style>
  <w:style w:type="character" w:customStyle="1" w:styleId="60">
    <w:name w:val="正文首行缩进 2 字符"/>
    <w:basedOn w:val="47"/>
    <w:autoRedefine/>
    <w:semiHidden/>
    <w:qFormat/>
    <w:uiPriority w:val="99"/>
  </w:style>
  <w:style w:type="character" w:customStyle="1" w:styleId="61">
    <w:name w:val="正文首行缩进 2 Char"/>
    <w:link w:val="27"/>
    <w:autoRedefine/>
    <w:qFormat/>
    <w:uiPriority w:val="0"/>
    <w:rPr>
      <w:rFonts w:ascii="Calibri" w:hAnsi="Calibri" w:eastAsia="宋体" w:cs="Times New Roman"/>
    </w:rPr>
  </w:style>
  <w:style w:type="paragraph" w:customStyle="1" w:styleId="62">
    <w:name w:val="xl85"/>
    <w:basedOn w:val="1"/>
    <w:autoRedefine/>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63">
    <w:name w:val="文二"/>
    <w:basedOn w:val="1"/>
    <w:autoRedefine/>
    <w:qFormat/>
    <w:uiPriority w:val="99"/>
    <w:pPr>
      <w:jc w:val="left"/>
    </w:pPr>
    <w:rPr>
      <w:rFonts w:ascii="宋体" w:hAnsi="宋体" w:eastAsia="宋体" w:cs="宋体"/>
      <w:szCs w:val="21"/>
    </w:rPr>
  </w:style>
  <w:style w:type="paragraph" w:customStyle="1" w:styleId="64">
    <w:name w:val="xl87"/>
    <w:basedOn w:val="1"/>
    <w:autoRedefine/>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65">
    <w:name w:val="xl82"/>
    <w:basedOn w:val="1"/>
    <w:autoRedefine/>
    <w:qFormat/>
    <w:uiPriority w:val="0"/>
    <w:pPr>
      <w:widowControl/>
      <w:pBdr>
        <w:top w:val="single" w:color="auto" w:sz="4" w:space="0"/>
        <w:bottom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66">
    <w:name w:val="font6"/>
    <w:basedOn w:val="1"/>
    <w:autoRedefine/>
    <w:qFormat/>
    <w:uiPriority w:val="0"/>
    <w:pPr>
      <w:widowControl/>
      <w:spacing w:before="100" w:beforeAutospacing="1" w:after="100" w:afterAutospacing="1"/>
      <w:jc w:val="left"/>
    </w:pPr>
    <w:rPr>
      <w:rFonts w:ascii="Calibri" w:hAnsi="Calibri" w:eastAsia="宋体" w:cs="Times New Roman"/>
      <w:color w:val="000000"/>
      <w:kern w:val="0"/>
      <w:sz w:val="22"/>
    </w:rPr>
  </w:style>
  <w:style w:type="paragraph" w:customStyle="1" w:styleId="67">
    <w:name w:val="xl7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69">
    <w:name w:val="xl86"/>
    <w:basedOn w:val="1"/>
    <w:autoRedefine/>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70">
    <w:name w:val="xl83"/>
    <w:basedOn w:val="1"/>
    <w:autoRedefine/>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7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72">
    <w:name w:val="_Style 3"/>
    <w:basedOn w:val="1"/>
    <w:autoRedefine/>
    <w:qFormat/>
    <w:uiPriority w:val="1"/>
    <w:pPr>
      <w:spacing w:line="360" w:lineRule="auto"/>
      <w:jc w:val="center"/>
    </w:pPr>
    <w:rPr>
      <w:rFonts w:ascii="Calibri" w:hAnsi="Calibri" w:eastAsia="宋体" w:cs="Times New Roman"/>
      <w:szCs w:val="20"/>
    </w:rPr>
  </w:style>
  <w:style w:type="paragraph" w:customStyle="1" w:styleId="73">
    <w:name w:val="xl89"/>
    <w:basedOn w:val="1"/>
    <w:autoRedefine/>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宋体" w:hAnsi="宋体" w:eastAsia="宋体" w:cs="宋体"/>
      <w:color w:val="FF0000"/>
      <w:kern w:val="0"/>
      <w:sz w:val="22"/>
    </w:rPr>
  </w:style>
  <w:style w:type="paragraph" w:customStyle="1" w:styleId="7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7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77">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78">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customStyle="1" w:styleId="7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8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FF0000"/>
      <w:kern w:val="0"/>
      <w:sz w:val="24"/>
      <w:szCs w:val="24"/>
    </w:rPr>
  </w:style>
  <w:style w:type="paragraph" w:customStyle="1" w:styleId="81">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90"/>
    <w:basedOn w:val="1"/>
    <w:autoRedefine/>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customStyle="1" w:styleId="84">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样式 标题 2 +"/>
    <w:basedOn w:val="3"/>
    <w:autoRedefine/>
    <w:qFormat/>
    <w:uiPriority w:val="0"/>
    <w:pPr>
      <w:tabs>
        <w:tab w:val="left" w:pos="567"/>
        <w:tab w:val="left" w:pos="720"/>
      </w:tabs>
      <w:spacing w:line="416" w:lineRule="auto"/>
    </w:pPr>
    <w:rPr>
      <w:bCs/>
      <w:kern w:val="0"/>
      <w:szCs w:val="32"/>
    </w:rPr>
  </w:style>
  <w:style w:type="paragraph" w:customStyle="1" w:styleId="86">
    <w:name w:val="xl88"/>
    <w:basedOn w:val="1"/>
    <w:autoRedefine/>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8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color w:val="FF0000"/>
      <w:kern w:val="0"/>
      <w:sz w:val="24"/>
      <w:szCs w:val="24"/>
    </w:rPr>
  </w:style>
  <w:style w:type="paragraph" w:customStyle="1" w:styleId="89">
    <w:name w:val="xl91"/>
    <w:basedOn w:val="1"/>
    <w:autoRedefine/>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customStyle="1" w:styleId="90">
    <w:name w:val="列出段落2"/>
    <w:basedOn w:val="1"/>
    <w:autoRedefine/>
    <w:qFormat/>
    <w:uiPriority w:val="0"/>
    <w:pPr>
      <w:ind w:firstLine="420" w:firstLineChars="200"/>
    </w:pPr>
    <w:rPr>
      <w:rFonts w:ascii="Calibri" w:hAnsi="Calibri" w:eastAsia="宋体" w:cs="Times New Roman"/>
      <w:szCs w:val="24"/>
    </w:rPr>
  </w:style>
  <w:style w:type="paragraph" w:customStyle="1" w:styleId="91">
    <w:name w:val="xl9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92">
    <w:name w:val="xl92"/>
    <w:basedOn w:val="1"/>
    <w:autoRedefine/>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styleId="93">
    <w:name w:val="No Spacing"/>
    <w:autoRedefine/>
    <w:qFormat/>
    <w:uiPriority w:val="4"/>
    <w:pPr>
      <w:widowControl w:val="0"/>
      <w:snapToGrid w:val="0"/>
      <w:ind w:firstLine="200" w:firstLineChars="200"/>
      <w:jc w:val="both"/>
    </w:pPr>
    <w:rPr>
      <w:rFonts w:ascii="Calibri" w:hAnsi="Calibri" w:eastAsia="宋体" w:cs="Times New Roman"/>
      <w:kern w:val="2"/>
      <w:sz w:val="21"/>
      <w:szCs w:val="21"/>
      <w:lang w:val="en-US" w:eastAsia="zh-CN" w:bidi="ar-SA"/>
    </w:rPr>
  </w:style>
  <w:style w:type="paragraph" w:customStyle="1" w:styleId="9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5">
    <w:name w:val="xl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6">
    <w:name w:val="xl9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97">
    <w:name w:val="font7"/>
    <w:basedOn w:val="1"/>
    <w:autoRedefine/>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98">
    <w:name w:val="xl84"/>
    <w:basedOn w:val="1"/>
    <w:autoRedefine/>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99">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100">
    <w:name w:val="TOC 标题1"/>
    <w:basedOn w:val="2"/>
    <w:next w:val="1"/>
    <w:autoRedefine/>
    <w:qFormat/>
    <w:uiPriority w:val="0"/>
    <w:pPr>
      <w:widowControl/>
      <w:spacing w:before="480" w:after="0"/>
      <w:jc w:val="left"/>
      <w:outlineLvl w:val="9"/>
    </w:pPr>
    <w:rPr>
      <w:rFonts w:ascii="Cambria" w:hAnsi="Cambria"/>
      <w:color w:val="365F91"/>
      <w:kern w:val="0"/>
      <w:sz w:val="28"/>
    </w:rPr>
  </w:style>
  <w:style w:type="paragraph" w:customStyle="1" w:styleId="101">
    <w:name w:val="Table Paragraph"/>
    <w:basedOn w:val="1"/>
    <w:autoRedefine/>
    <w:unhideWhenUsed/>
    <w:qFormat/>
    <w:uiPriority w:val="99"/>
    <w:rPr>
      <w:rFonts w:ascii="Calibri" w:hAnsi="Calibri" w:eastAsia="宋体" w:cs="Times New Roman"/>
    </w:rPr>
  </w:style>
  <w:style w:type="paragraph" w:customStyle="1" w:styleId="102">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104">
    <w:name w:val="font9"/>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5">
    <w:name w:val="font5"/>
    <w:basedOn w:val="1"/>
    <w:autoRedefine/>
    <w:qFormat/>
    <w:uiPriority w:val="0"/>
    <w:pPr>
      <w:widowControl/>
      <w:spacing w:before="100" w:beforeAutospacing="1" w:after="100" w:afterAutospacing="1"/>
      <w:jc w:val="left"/>
    </w:pPr>
    <w:rPr>
      <w:rFonts w:ascii="黑体" w:hAnsi="黑体" w:eastAsia="黑体" w:cs="宋体"/>
      <w:b/>
      <w:bCs/>
      <w:color w:val="FF0000"/>
      <w:kern w:val="0"/>
      <w:sz w:val="24"/>
      <w:szCs w:val="24"/>
    </w:rPr>
  </w:style>
  <w:style w:type="paragraph" w:customStyle="1" w:styleId="106">
    <w:name w:val="xl81"/>
    <w:basedOn w:val="1"/>
    <w:autoRedefine/>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styleId="107">
    <w:name w:val="List Paragraph"/>
    <w:basedOn w:val="1"/>
    <w:autoRedefine/>
    <w:qFormat/>
    <w:uiPriority w:val="34"/>
    <w:pPr>
      <w:ind w:firstLine="420" w:firstLineChars="200"/>
    </w:pPr>
    <w:rPr>
      <w:rFonts w:ascii="Calibri" w:hAnsi="Calibri" w:eastAsia="宋体" w:cs="Times New Roman"/>
    </w:rPr>
  </w:style>
  <w:style w:type="paragraph" w:customStyle="1" w:styleId="108">
    <w:name w:val="_Style 7"/>
    <w:basedOn w:val="9"/>
    <w:next w:val="26"/>
    <w:autoRedefine/>
    <w:qFormat/>
    <w:uiPriority w:val="99"/>
    <w:pPr>
      <w:spacing w:line="312" w:lineRule="auto"/>
      <w:ind w:firstLine="420"/>
    </w:pPr>
    <w:rPr>
      <w:szCs w:val="24"/>
    </w:rPr>
  </w:style>
  <w:style w:type="paragraph" w:customStyle="1" w:styleId="109">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110">
    <w:name w:val="标题 1_0"/>
    <w:basedOn w:val="111"/>
    <w:next w:val="111"/>
    <w:link w:val="112"/>
    <w:autoRedefine/>
    <w:qFormat/>
    <w:uiPriority w:val="9"/>
    <w:pPr>
      <w:keepNext/>
      <w:keepLines/>
      <w:spacing w:before="340" w:after="330" w:line="578" w:lineRule="auto"/>
      <w:ind w:left="0" w:leftChars="0"/>
      <w:jc w:val="center"/>
      <w:outlineLvl w:val="0"/>
    </w:pPr>
    <w:rPr>
      <w:rFonts w:eastAsia="宋体"/>
      <w:b/>
      <w:bCs/>
      <w:kern w:val="44"/>
      <w:sz w:val="32"/>
      <w:szCs w:val="44"/>
    </w:rPr>
  </w:style>
  <w:style w:type="paragraph" w:customStyle="1" w:styleId="111">
    <w:name w:val="正文_0"/>
    <w:autoRedefine/>
    <w:qFormat/>
    <w:uiPriority w:val="0"/>
    <w:pPr>
      <w:spacing w:line="360" w:lineRule="auto"/>
      <w:ind w:left="200" w:leftChars="200"/>
      <w:jc w:val="both"/>
    </w:pPr>
    <w:rPr>
      <w:rFonts w:ascii="Times New Roman" w:hAnsi="Times New Roman" w:eastAsia="仿宋" w:cs="Times New Roman"/>
      <w:kern w:val="2"/>
      <w:sz w:val="21"/>
      <w:szCs w:val="22"/>
      <w:lang w:val="en-US" w:eastAsia="zh-CN" w:bidi="ar-SA"/>
    </w:rPr>
  </w:style>
  <w:style w:type="character" w:customStyle="1" w:styleId="112">
    <w:name w:val="标题 1 Char"/>
    <w:link w:val="110"/>
    <w:autoRedefine/>
    <w:qFormat/>
    <w:uiPriority w:val="9"/>
    <w:rPr>
      <w:rFonts w:ascii="Times New Roman" w:hAnsi="Times New Roman" w:eastAsia="宋体" w:cs="Times New Roman"/>
      <w:b/>
      <w:bCs/>
      <w:kern w:val="44"/>
      <w:sz w:val="32"/>
      <w:szCs w:val="44"/>
    </w:rPr>
  </w:style>
  <w:style w:type="paragraph" w:customStyle="1" w:styleId="11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4">
    <w:name w:val="_Style 113"/>
    <w:basedOn w:val="1"/>
    <w:next w:val="107"/>
    <w:autoRedefine/>
    <w:qFormat/>
    <w:uiPriority w:val="34"/>
    <w:pPr>
      <w:ind w:firstLine="420" w:firstLineChars="200"/>
    </w:pPr>
    <w:rPr>
      <w:rFonts w:ascii="Calibri" w:hAnsi="Calibri" w:eastAsia="宋体" w:cs="Times New Roman"/>
    </w:rPr>
  </w:style>
  <w:style w:type="character" w:customStyle="1" w:styleId="115">
    <w:name w:val="无"/>
    <w:autoRedefine/>
    <w:qFormat/>
    <w:uiPriority w:val="99"/>
  </w:style>
  <w:style w:type="character" w:customStyle="1" w:styleId="116">
    <w:name w:val="font31"/>
    <w:qFormat/>
    <w:uiPriority w:val="0"/>
    <w:rPr>
      <w:rFonts w:hint="eastAsia" w:ascii="宋体" w:hAnsi="宋体" w:eastAsia="宋体" w:cs="宋体"/>
      <w:b/>
      <w:bCs/>
      <w:color w:val="000000"/>
      <w:sz w:val="24"/>
      <w:szCs w:val="24"/>
      <w:u w:val="none"/>
    </w:rPr>
  </w:style>
  <w:style w:type="paragraph" w:customStyle="1" w:styleId="11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62</Pages>
  <Words>10617</Words>
  <Characters>11624</Characters>
  <DocSecurity>0</DocSecurity>
  <Lines>265</Lines>
  <Paragraphs>74</Paragraphs>
  <ScaleCrop>false</ScaleCrop>
  <LinksUpToDate>false</LinksUpToDate>
  <CharactersWithSpaces>12146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2023-10-07T03:49:00Z</cp:lastPrinted>
  <dcterms:created xsi:type="dcterms:W3CDTF">2024-06-14T02:09:00Z</dcterms:created>
  <dcterms:modified xsi:type="dcterms:W3CDTF">2025-11-13T01:38:02Z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398BB0EC400E46FDA8EE2E361FC3B8F8_12</vt:lpwstr>
  </property>
  <property fmtid="{D5CDD505-2E9C-101B-9397-08002B2CF9AE}" pid="4" name="KSOTemplateDocerSaveRecord">
    <vt:lpwstr>eyJoZGlkIjoiN2YzNjBkOTgyNWQ1YTMxYzM3MzMwNWFiODNmOWIzYWMiLCJ1c2VySWQiOiI1NjY5NzQ3MjEifQ==</vt:lpwstr>
  </property>
</Properties>
</file>